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s="宋体"/>
          <w:color w:val="auto"/>
          <w:sz w:val="36"/>
          <w:highlight w:val="none"/>
        </w:rPr>
      </w:pPr>
      <w:r>
        <w:rPr>
          <w:rFonts w:ascii="宋体" w:hAnsi="宋体" w:cs="宋体"/>
          <w:color w:val="auto"/>
          <w:sz w:val="36"/>
          <w:highlight w:val="none"/>
        </w:rPr>
      </w:r>
      <w:r/>
    </w:p>
    <w:p>
      <w:pPr>
        <w:jc w:val="right"/>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JSZC-321002-JSZC-G2025-0105</w:t>
      </w:r>
      <w:r/>
    </w:p>
    <w:p>
      <w:pPr>
        <w:jc w:val="right"/>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2025年广陵区“雪亮工程”建设项目</w:t>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pStyle w:val="1048"/>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048"/>
        <w:spacing w:line="360" w:lineRule="auto"/>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1543685" cy="2075815"/>
                <wp:effectExtent l="0" t="0" r="18415" b="635"/>
                <wp:docPr id="5" name="图片 5" descr="34728bada16368f7e86475f0466a6c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4728bada16368f7e86475f0466a6ce6"/>
                        <pic:cNvPicPr>
                          <a:picLocks noChangeAspect="1"/>
                        </pic:cNvPicPr>
                        <pic:nvPr/>
                      </pic:nvPicPr>
                      <pic:blipFill>
                        <a:blip r:embed="rId17"/>
                        <a:stretch/>
                      </pic:blipFill>
                      <pic:spPr bwMode="auto">
                        <a:xfrm>
                          <a:off x="0" y="0"/>
                          <a:ext cx="1543685" cy="20758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1.5pt;height:163.4pt;mso-wrap-distance-left:0.0pt;mso-wrap-distance-top:0.0pt;mso-wrap-distance-right:0.0pt;mso-wrap-distance-bottom:0.0pt;" stroked="false">
                <v:path textboxrect="0,0,0,0"/>
                <v:imagedata r:id="rId17" o:title=""/>
              </v:shape>
            </w:pict>
          </mc:Fallback>
        </mc:AlternateConten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ind w:firstLine="1157"/>
        <w:spacing w:line="360" w:lineRule="auto"/>
        <w:rPr>
          <w:rFonts w:ascii="宋体" w:hAnsi="宋体" w:cs="宋体"/>
          <w:color w:val="auto"/>
          <w:sz w:val="28"/>
          <w:szCs w:val="28"/>
          <w:highlight w:val="none"/>
          <w:u w:val="single"/>
        </w:rPr>
      </w:pPr>
      <w:r>
        <w:rPr>
          <w:rFonts w:hint="eastAsia" w:ascii="宋体" w:hAnsi="宋体" w:cs="宋体"/>
          <w:b/>
          <w:bCs/>
          <w:color w:val="auto"/>
          <w:sz w:val="32"/>
          <w:szCs w:val="32"/>
          <w:highlight w:val="none"/>
        </w:rPr>
        <w:t xml:space="preserve">采   购  人：扬州市公安局广陵分局</w:t>
      </w:r>
      <w:r/>
    </w:p>
    <w:p>
      <w:pPr>
        <w:ind w:firstLine="1157"/>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采购代理机构：江苏志诚工程咨询管理有限公司</w:t>
      </w:r>
      <w:r/>
    </w:p>
    <w:p>
      <w:pPr>
        <w:ind w:firstLine="1157"/>
        <w:spacing w:line="360" w:lineRule="auto"/>
        <w:rPr>
          <w:rFonts w:ascii="宋体" w:hAnsi="宋体" w:cs="宋体"/>
          <w:b/>
          <w:bCs/>
          <w:color w:val="auto"/>
          <w:sz w:val="32"/>
          <w:szCs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sz w:val="32"/>
          <w:szCs w:val="32"/>
          <w:highlight w:val="none"/>
        </w:rPr>
        <w:t xml:space="preserve">发 放 日 期：2025年12月</w:t>
      </w:r>
      <w:r>
        <w:rPr>
          <w:rFonts w:hint="eastAsia" w:ascii="宋体" w:hAnsi="宋体" w:cs="宋体"/>
          <w:b/>
          <w:bCs/>
          <w:color w:val="auto"/>
          <w:sz w:val="32"/>
          <w:szCs w:val="32"/>
          <w:highlight w:val="none"/>
          <w:lang w:val="en-US" w:eastAsia="zh-CN"/>
        </w:rPr>
        <w:t xml:space="preserve">26</w:t>
      </w:r>
      <w:r>
        <w:rPr>
          <w:rFonts w:hint="eastAsia" w:ascii="宋体" w:hAnsi="宋体" w:cs="宋体"/>
          <w:b/>
          <w:bCs/>
          <w:color w:val="auto"/>
          <w:sz w:val="32"/>
          <w:szCs w:val="32"/>
          <w:highlight w:val="none"/>
        </w:rPr>
        <w:t xml:space="preserve">日</w:t>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目 录</w:t>
      </w:r>
      <w:r/>
    </w:p>
    <w:p>
      <w:pPr>
        <w:pStyle w:val="1049"/>
        <w:spacing w:line="360" w:lineRule="auto"/>
        <w:tabs>
          <w:tab w:val="right" w:pos="8296" w:leader="dot"/>
        </w:tabs>
        <w:rPr>
          <w:rFonts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_Toc497133090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3</w:t>
      </w:r>
      <w:r>
        <w:rPr>
          <w:rFonts w:hint="eastAsia" w:ascii="宋体" w:hAnsi="宋体" w:cs="宋体"/>
          <w:color w:val="auto"/>
          <w:highlight w:val="none"/>
        </w:rPr>
        <w:fldChar w:fldCharType="end"/>
      </w:r>
      <w:r/>
    </w:p>
    <w:p>
      <w:pPr>
        <w:pStyle w:val="1049"/>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rPr>
        <w:t xml:space="preserve">7</w:t>
      </w:r>
      <w:r/>
    </w:p>
    <w:p>
      <w:pPr>
        <w:pStyle w:val="1049"/>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19</w:t>
      </w:r>
      <w:r/>
    </w:p>
    <w:p>
      <w:pPr>
        <w:pStyle w:val="1049"/>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25</w:t>
      </w:r>
      <w:r/>
    </w:p>
    <w:p>
      <w:pPr>
        <w:pStyle w:val="1049"/>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rPr>
        <w:t xml:space="preserve">26</w:t>
      </w:r>
      <w:r/>
    </w:p>
    <w:p>
      <w:pPr>
        <w:pStyle w:val="1049"/>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29</w:t>
      </w:r>
      <w:r/>
    </w:p>
    <w:p>
      <w:pPr>
        <w:jc w:val="center"/>
        <w:spacing w:line="360" w:lineRule="auto"/>
        <w:rPr>
          <w:rFonts w:ascii="宋体" w:hAnsi="宋体" w:cs="宋体"/>
          <w:color w:val="auto"/>
          <w:sz w:val="28"/>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28"/>
          <w:highlight w:val="none"/>
        </w:rPr>
        <w:fldChar w:fldCharType="end"/>
      </w:r>
      <w:r/>
    </w:p>
    <w:p>
      <w:pPr>
        <w:pStyle w:val="1050"/>
        <w:jc w:val="center"/>
        <w:spacing w:line="360" w:lineRule="auto"/>
        <w:rPr>
          <w:rFonts w:ascii="宋体" w:hAnsi="宋体" w:cs="宋体"/>
          <w:color w:val="auto"/>
          <w:sz w:val="36"/>
          <w:highlight w:val="none"/>
        </w:rPr>
      </w:pPr>
      <w:r/>
      <w:bookmarkStart w:id="0" w:name="_Toc497133090"/>
      <w:r>
        <w:rPr>
          <w:rFonts w:hint="eastAsia" w:ascii="宋体" w:hAnsi="宋体" w:cs="宋体"/>
          <w:color w:val="auto"/>
          <w:sz w:val="36"/>
          <w:highlight w:val="none"/>
        </w:rPr>
        <w:t xml:space="preserve">第一章 招标公告</w:t>
      </w:r>
      <w:bookmarkEnd w:id="0"/>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bookmarkStart w:id="1" w:name="OLE_LINK1"/>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rPr>
        <w:t xml:space="preserve">2025年广陵区“雪亮工程”建设项目</w:t>
      </w:r>
      <w:r>
        <w:rPr>
          <w:rFonts w:hint="eastAsia" w:ascii="宋体" w:hAnsi="宋体" w:cs="宋体"/>
          <w:color w:val="auto"/>
          <w:szCs w:val="21"/>
          <w:highlight w:val="none"/>
        </w:rPr>
        <w:t xml:space="preserve">的潜在投标人应在</w:t>
      </w:r>
      <w:r>
        <w:rPr>
          <w:rFonts w:hint="eastAsia" w:ascii="宋体" w:hAnsi="宋体" w:cs="宋体"/>
          <w:color w:val="auto"/>
          <w:szCs w:val="21"/>
          <w:highlight w:val="none"/>
          <w:u w:val="single"/>
        </w:rPr>
        <w:t xml:space="preserve">“中国政府采购网”、“江苏省政府采购网”、“扬州市政府采购网”、“扬州市广陵区政府采购网”</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rPr>
        <w:t xml:space="preserve">2026年01月</w:t>
      </w:r>
      <w:r>
        <w:rPr>
          <w:rFonts w:hint="eastAsia" w:ascii="宋体" w:hAnsi="宋体" w:cs="宋体"/>
          <w:color w:val="auto"/>
          <w:szCs w:val="21"/>
          <w:highlight w:val="none"/>
          <w:u w:val="single"/>
          <w:lang w:val="en-US" w:eastAsia="zh-CN"/>
        </w:rPr>
        <w:t xml:space="preserve">19</w:t>
      </w:r>
      <w:r>
        <w:rPr>
          <w:rFonts w:hint="eastAsia" w:ascii="宋体" w:hAnsi="宋体" w:cs="宋体"/>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点30分（北京时间）</w:t>
      </w:r>
      <w:r>
        <w:rPr>
          <w:rFonts w:hint="eastAsia" w:ascii="宋体" w:hAnsi="宋体" w:cs="宋体"/>
          <w:bCs/>
          <w:color w:val="auto"/>
          <w:szCs w:val="21"/>
          <w:highlight w:val="none"/>
        </w:rPr>
        <w:t xml:space="preserve">前递交投标文件</w:t>
      </w:r>
      <w:r>
        <w:rPr>
          <w:rFonts w:hint="eastAsia" w:ascii="宋体" w:hAnsi="宋体" w:cs="宋体"/>
          <w:color w:val="auto"/>
          <w:szCs w:val="21"/>
          <w:highlight w:val="none"/>
        </w:rPr>
        <w:t xml:space="preserve">。</w:t>
      </w:r>
      <w:r/>
    </w:p>
    <w:p>
      <w:pPr>
        <w:ind w:firstLine="422"/>
        <w:spacing w:line="360" w:lineRule="auto"/>
        <w:rPr>
          <w:rFonts w:ascii="宋体" w:hAnsi="宋体" w:cs="宋体"/>
          <w:b/>
          <w:bCs/>
          <w:color w:val="auto"/>
          <w:szCs w:val="21"/>
          <w:highlight w:val="none"/>
        </w:rPr>
      </w:pPr>
      <w:r/>
      <w:bookmarkStart w:id="2" w:name="_Toc28359002"/>
      <w:r/>
      <w:bookmarkStart w:id="3" w:name="_Toc28359079"/>
      <w:r/>
      <w:bookmarkStart w:id="4" w:name="_Toc35393790"/>
      <w:r/>
      <w:bookmarkStart w:id="5" w:name="_Toc35393621"/>
      <w:r/>
      <w:bookmarkStart w:id="6" w:name="_Hlk24379207"/>
      <w:r>
        <w:rPr>
          <w:rFonts w:hint="eastAsia" w:ascii="宋体" w:hAnsi="宋体" w:cs="宋体"/>
          <w:b/>
          <w:bCs/>
          <w:color w:val="auto"/>
          <w:szCs w:val="21"/>
          <w:highlight w:val="none"/>
        </w:rPr>
        <w:t xml:space="preserve">一、项目基本情况</w:t>
      </w:r>
      <w:bookmarkEnd w:id="2"/>
      <w:r/>
      <w:bookmarkEnd w:id="3"/>
      <w:r/>
      <w:bookmarkEnd w:id="4"/>
      <w:r/>
      <w:bookmarkEnd w:id="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1、项目编号：JSZC-321002-JSZC-G2025-0105</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2、项目名称：2025年广陵区“雪亮工程”建设项目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3、采购方式：公开招标</w:t>
      </w:r>
      <w:bookmarkEnd w:id="6"/>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val="en-US" w:eastAsia="zh-CN"/>
        </w:rPr>
        <w:t xml:space="preserve">832</w:t>
      </w:r>
      <w:r>
        <w:rPr>
          <w:rFonts w:hint="eastAsia" w:ascii="宋体" w:hAnsi="宋体" w:cs="宋体"/>
          <w:color w:val="auto"/>
          <w:szCs w:val="21"/>
          <w:highlight w:val="none"/>
        </w:rPr>
        <w:t xml:space="preserve">万元。</w:t>
      </w:r>
      <w:r/>
    </w:p>
    <w:p>
      <w:pPr>
        <w:ind w:left="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5、最高限价：本项目设定最高限价为817.25万元，投标报价超过最高限价的，作无效标处理。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6、采购需求：</w:t>
      </w:r>
      <w:r>
        <w:rPr>
          <w:rFonts w:hint="eastAsia" w:ascii="宋体" w:hAnsi="宋体" w:cs="宋体"/>
          <w:color w:val="auto"/>
          <w:szCs w:val="21"/>
          <w:highlight w:val="none"/>
          <w:lang w:val="zh-CN"/>
        </w:rPr>
        <w:t xml:space="preserve">详见招标文件第四章项目需求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7、</w:t>
      </w: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合同签订后120天完工（后端设备须在合同签订后30天内完成供货及安装，相关监控及设备须在合同签订后120天内完成供货及安装）</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8、本项目</w:t>
      </w:r>
      <w:r>
        <w:rPr>
          <w:rFonts w:hint="eastAsia" w:ascii="宋体" w:hAnsi="宋体" w:cs="宋体"/>
          <w:color w:val="auto"/>
          <w:szCs w:val="21"/>
          <w:highlight w:val="none"/>
          <w:u w:val="single"/>
        </w:rPr>
        <w:t xml:space="preserve">不</w:t>
      </w:r>
      <w:r>
        <w:rPr>
          <w:rFonts w:hint="eastAsia" w:ascii="宋体" w:hAnsi="宋体" w:cs="宋体"/>
          <w:color w:val="auto"/>
          <w:szCs w:val="21"/>
          <w:highlight w:val="none"/>
          <w:u w:val="single"/>
          <w:lang w:val="zh-CN"/>
        </w:rPr>
        <w:t xml:space="preserve">接受</w:t>
      </w:r>
      <w:r>
        <w:rPr>
          <w:rFonts w:hint="eastAsia" w:ascii="宋体" w:hAnsi="宋体" w:cs="宋体"/>
          <w:color w:val="auto"/>
          <w:szCs w:val="21"/>
          <w:highlight w:val="none"/>
          <w:lang w:val="zh-CN"/>
        </w:rPr>
        <w:t xml:space="preserve">联合体</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9、本项目</w:t>
      </w:r>
      <w:r>
        <w:rPr>
          <w:rFonts w:hint="eastAsia" w:ascii="宋体" w:hAnsi="宋体" w:cs="宋体"/>
          <w:color w:val="auto"/>
          <w:szCs w:val="21"/>
          <w:highlight w:val="none"/>
          <w:u w:val="single"/>
          <w:lang w:val="zh-CN"/>
        </w:rPr>
        <w:t xml:space="preserve">不接受</w:t>
      </w:r>
      <w:r>
        <w:rPr>
          <w:rFonts w:hint="eastAsia" w:ascii="宋体" w:hAnsi="宋体" w:cs="宋体"/>
          <w:color w:val="auto"/>
          <w:szCs w:val="21"/>
          <w:highlight w:val="none"/>
          <w:lang w:val="zh-CN"/>
        </w:rPr>
        <w:t xml:space="preserve">进口产品</w:t>
      </w:r>
      <w:r/>
    </w:p>
    <w:p>
      <w:pPr>
        <w:ind w:firstLine="422"/>
        <w:spacing w:line="360" w:lineRule="auto"/>
        <w:rPr>
          <w:rFonts w:ascii="宋体" w:hAnsi="宋体" w:cs="宋体"/>
          <w:b/>
          <w:bCs/>
          <w:color w:val="auto"/>
          <w:szCs w:val="21"/>
          <w:highlight w:val="none"/>
        </w:rPr>
      </w:pPr>
      <w:r/>
      <w:bookmarkStart w:id="7" w:name="_Toc28359080"/>
      <w:r/>
      <w:bookmarkStart w:id="8" w:name="_Toc35393791"/>
      <w:r/>
      <w:bookmarkStart w:id="9" w:name="_Toc35393622"/>
      <w:r/>
      <w:bookmarkStart w:id="10" w:name="_Toc28359003"/>
      <w:r>
        <w:rPr>
          <w:rFonts w:hint="eastAsia" w:ascii="宋体" w:hAnsi="宋体" w:cs="宋体"/>
          <w:b/>
          <w:bCs/>
          <w:color w:val="auto"/>
          <w:szCs w:val="21"/>
          <w:highlight w:val="none"/>
        </w:rPr>
        <w:t xml:space="preserve">二、申请人的资格要求：</w:t>
      </w:r>
      <w:bookmarkEnd w:id="7"/>
      <w:r/>
      <w:bookmarkEnd w:id="8"/>
      <w:r/>
      <w:bookmarkEnd w:id="9"/>
      <w:r/>
      <w:bookmarkEnd w:id="10"/>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 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cs="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投标人近三个月内任意一份依法纳税的缴款凭证</w:t>
      </w:r>
      <w:r>
        <w:rPr>
          <w:rFonts w:hint="eastAsia" w:ascii="宋体" w:hAnsi="宋体" w:cs="宋体"/>
          <w:b/>
          <w:bCs/>
          <w:i/>
          <w:iCs/>
          <w:color w:val="auto"/>
          <w:szCs w:val="21"/>
          <w:highlight w:val="none"/>
          <w:u w:val="single"/>
        </w:rPr>
        <w:t xml:space="preserve">（投标人依法享受缓缴、免缴的提供证明材料）</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i/>
          <w:color w:val="auto"/>
          <w:szCs w:val="21"/>
          <w:highlight w:val="none"/>
          <w:u w:val="single"/>
        </w:rPr>
        <w:t xml:space="preserve">根据《政府采购促进中小企业发展管理办法》的规定，本项目对小型和微型企业、残疾人福利单位、监狱和戒毒企业提供的货物、服务给予20%的价格扣除。投标人必须提供招标文件中相应企业声明函，不符合要求或未提供的不给予价格扣除。</w:t>
      </w:r>
      <w:r/>
    </w:p>
    <w:p>
      <w:pPr>
        <w:ind w:firstLine="420"/>
        <w:spacing w:line="360" w:lineRule="auto"/>
        <w:rPr>
          <w:rFonts w:ascii="宋体" w:hAnsi="宋体" w:cs="宋体"/>
          <w:i/>
          <w:color w:val="auto"/>
          <w:szCs w:val="21"/>
          <w:highlight w:val="none"/>
          <w:u w:val="single"/>
        </w:rPr>
      </w:pPr>
      <w:r>
        <w:rPr>
          <w:rFonts w:hint="eastAsia" w:ascii="宋体" w:hAnsi="宋体" w:cs="宋体"/>
          <w:color w:val="auto"/>
          <w:szCs w:val="21"/>
          <w:highlight w:val="none"/>
        </w:rPr>
        <w:t xml:space="preserve">3.本项目的特定资格要求：</w:t>
      </w:r>
      <w:r>
        <w:rPr>
          <w:rFonts w:hint="eastAsia" w:ascii="宋体" w:hAnsi="宋体" w:cs="宋体"/>
          <w:i/>
          <w:color w:val="auto"/>
          <w:szCs w:val="21"/>
          <w:highlight w:val="none"/>
          <w:u w:val="single"/>
        </w:rPr>
        <w:t xml:space="preserve">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4.拒绝下述供应商参加本次采购活动：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4.1供应商单位负责人为同一人或者存在直接控股、管理关系的不同供应商，不得参加同一合同项下的政府采购活动。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4.2凡为采购项目提供整体设计、规范编制或者项目管理、监理、检测等服务的供应商，不得再参加该项目的其他采购活动。</w:t>
      </w:r>
      <w:r/>
    </w:p>
    <w:p>
      <w:pPr>
        <w:ind w:firstLine="420"/>
        <w:spacing w:line="360" w:lineRule="auto"/>
        <w:rPr>
          <w:rFonts w:ascii="宋体" w:hAnsi="宋体" w:cs="宋体"/>
          <w:i/>
          <w:color w:val="auto"/>
          <w:szCs w:val="21"/>
          <w:highlight w:val="none"/>
          <w:u w:val="single"/>
        </w:rPr>
      </w:pPr>
      <w:r>
        <w:rPr>
          <w:rFonts w:hint="eastAsia" w:ascii="宋体" w:hAnsi="宋体" w:cs="宋体"/>
          <w:color w:val="auto"/>
          <w:szCs w:val="21"/>
          <w:highlight w:val="none"/>
        </w:rPr>
        <w:t xml:space="preserve">4.3供应商被“信用中国”网站（www.creditchina.gov.cn）、“中国政府采购网”(www.ccgp.gov.cn)列入失信被执行人、重大税收违法案件当事人名单、政府采购严重违法失信行为记录名单。</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spacing w:line="360" w:lineRule="auto"/>
        <w:tabs>
          <w:tab w:val="left" w:pos="266" w:leader="none"/>
        </w:tabs>
        <w:rPr>
          <w:rFonts w:ascii="宋体" w:hAnsi="宋体" w:cs="宋体"/>
          <w:color w:val="auto"/>
          <w:highlight w:val="none"/>
        </w:rPr>
      </w:pPr>
      <w:r/>
      <w:bookmarkStart w:id="11" w:name="_Toc28359082"/>
      <w:r/>
      <w:bookmarkStart w:id="12" w:name="_Toc28359005"/>
      <w:r/>
      <w:bookmarkStart w:id="13" w:name="_Toc35393793"/>
      <w:r/>
      <w:bookmarkStart w:id="14" w:name="_Toc38985266"/>
      <w:r/>
      <w:bookmarkStart w:id="15" w:name="_Toc35393624"/>
      <w:r>
        <w:rPr>
          <w:rFonts w:hint="eastAsia" w:ascii="宋体" w:hAnsi="宋体" w:cs="宋体"/>
          <w:color w:val="auto"/>
          <w:highlight w:val="none"/>
        </w:rPr>
        <w:t xml:space="preserve">时间：自招标文件公告发布之日起5个工作日 </w:t>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地点：“中国政府采购网”、“江苏省政府采购网”、“扬州市政府采购网”、“扬州市广陵区政府采购网” </w:t>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方式：自行下载 </w:t>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售价：0.00元 </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1"/>
      <w:r/>
      <w:bookmarkEnd w:id="12"/>
      <w:r>
        <w:rPr>
          <w:rFonts w:hint="eastAsia" w:ascii="宋体" w:hAnsi="宋体" w:cs="宋体"/>
          <w:b/>
          <w:bCs/>
          <w:color w:val="auto"/>
          <w:highlight w:val="none"/>
        </w:rPr>
        <w:t xml:space="preserve">截止时间、开标时间和地点</w:t>
      </w:r>
      <w:bookmarkEnd w:id="13"/>
      <w:r/>
      <w:bookmarkEnd w:id="14"/>
      <w:r/>
      <w:bookmarkEnd w:id="15"/>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时间：</w:t>
      </w:r>
      <w:r>
        <w:rPr>
          <w:rFonts w:hint="eastAsia" w:ascii="宋体" w:hAnsi="宋体" w:cs="宋体"/>
          <w:color w:val="auto"/>
          <w:szCs w:val="21"/>
          <w:highlight w:val="none"/>
          <w:u w:val="single"/>
        </w:rPr>
        <w:t xml:space="preserve">2026年01月</w:t>
      </w:r>
      <w:r>
        <w:rPr>
          <w:rFonts w:hint="eastAsia" w:ascii="宋体" w:hAnsi="宋体" w:cs="宋体"/>
          <w:color w:val="auto"/>
          <w:szCs w:val="21"/>
          <w:highlight w:val="none"/>
          <w:u w:val="single"/>
          <w:lang w:val="en-US" w:eastAsia="zh-CN"/>
        </w:rPr>
        <w:t xml:space="preserve">19</w:t>
      </w:r>
      <w:r>
        <w:rPr>
          <w:rFonts w:hint="eastAsia" w:ascii="宋体" w:hAnsi="宋体" w:cs="宋体"/>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点30分</w:t>
      </w:r>
      <w:r>
        <w:rPr>
          <w:rFonts w:hint="eastAsia" w:ascii="宋体" w:hAnsi="宋体" w:cs="宋体"/>
          <w:bCs/>
          <w:color w:val="auto"/>
          <w:highlight w:val="none"/>
        </w:rPr>
        <w:t xml:space="preserve">（北京时间）</w:t>
      </w:r>
      <w:r/>
    </w:p>
    <w:p>
      <w:pPr>
        <w:ind w:firstLine="420"/>
        <w:spacing w:line="360" w:lineRule="auto"/>
        <w:rPr>
          <w:rFonts w:ascii="宋体" w:hAnsi="宋体" w:cs="宋体"/>
          <w:b/>
          <w:color w:val="auto"/>
          <w:szCs w:val="21"/>
          <w:highlight w:val="none"/>
        </w:rPr>
      </w:pPr>
      <w:r>
        <w:rPr>
          <w:rFonts w:hint="eastAsia" w:ascii="宋体" w:hAnsi="宋体" w:cs="宋体"/>
          <w:color w:val="auto"/>
          <w:highlight w:val="none"/>
        </w:rPr>
        <w:t xml:space="preserve">地点：</w:t>
      </w:r>
      <w:r>
        <w:rPr>
          <w:rFonts w:hint="eastAsia" w:ascii="宋体" w:hAnsi="宋体" w:cs="宋体"/>
          <w:b/>
          <w:color w:val="auto"/>
          <w:szCs w:val="21"/>
          <w:highlight w:val="none"/>
        </w:rPr>
        <w:t xml:space="preserve">“苏采云”系统（网址：http：//jszfcg.jsczt.cn/）</w:t>
      </w:r>
      <w:r/>
    </w:p>
    <w:p>
      <w:pPr>
        <w:spacing w:line="360" w:lineRule="auto"/>
        <w:tabs>
          <w:tab w:val="left" w:pos="266" w:leader="none"/>
        </w:tabs>
        <w:rPr>
          <w:rFonts w:ascii="宋体" w:hAnsi="宋体" w:cs="宋体"/>
          <w:b/>
          <w:bCs/>
          <w:color w:val="auto"/>
          <w:highlight w:val="none"/>
        </w:rPr>
      </w:pPr>
      <w:r/>
      <w:bookmarkStart w:id="16" w:name="_Toc28359084"/>
      <w:r/>
      <w:bookmarkStart w:id="17" w:name="_Toc38985267"/>
      <w:r/>
      <w:bookmarkStart w:id="18" w:name="_Toc28359007"/>
      <w:r/>
      <w:bookmarkStart w:id="19" w:name="_Toc35393794"/>
      <w:r/>
      <w:bookmarkStart w:id="20" w:name="_Toc35393625"/>
      <w:r>
        <w:rPr>
          <w:rFonts w:hint="eastAsia" w:ascii="宋体" w:hAnsi="宋体" w:cs="宋体"/>
          <w:b/>
          <w:bCs/>
          <w:color w:val="auto"/>
          <w:highlight w:val="none"/>
        </w:rPr>
        <w:t xml:space="preserve">五、公告期限</w:t>
      </w:r>
      <w:bookmarkEnd w:id="16"/>
      <w:r/>
      <w:bookmarkEnd w:id="17"/>
      <w:r/>
      <w:bookmarkEnd w:id="18"/>
      <w:r/>
      <w:bookmarkEnd w:id="19"/>
      <w:r/>
      <w:bookmarkEnd w:id="20"/>
      <w:r/>
      <w:r/>
    </w:p>
    <w:p>
      <w:pPr>
        <w:ind w:firstLine="420"/>
        <w:spacing w:line="360" w:lineRule="auto"/>
        <w:tabs>
          <w:tab w:val="left" w:pos="266" w:leader="none"/>
        </w:tabs>
        <w:rPr>
          <w:rFonts w:ascii="宋体" w:hAnsi="宋体" w:cs="宋体"/>
          <w:color w:val="auto"/>
          <w:highlight w:val="none"/>
        </w:rPr>
      </w:pPr>
      <w:r/>
      <w:bookmarkStart w:id="21" w:name="_Toc35393795"/>
      <w:r/>
      <w:bookmarkStart w:id="22" w:name="_Toc35393626"/>
      <w:r/>
      <w:bookmarkStart w:id="23" w:name="_Toc38985268"/>
      <w:r>
        <w:rPr>
          <w:rFonts w:hint="eastAsia" w:ascii="宋体" w:hAnsi="宋体" w:cs="宋体"/>
          <w:color w:val="auto"/>
          <w:highlight w:val="none"/>
        </w:rPr>
        <w:t xml:space="preserve">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1"/>
      <w:r/>
      <w:bookmarkEnd w:id="22"/>
      <w:r/>
      <w:bookmarkEnd w:id="23"/>
      <w:r/>
      <w:r/>
    </w:p>
    <w:p>
      <w:pPr>
        <w:ind w:firstLine="420"/>
        <w:spacing w:line="360" w:lineRule="auto"/>
        <w:rPr>
          <w:rFonts w:ascii="宋体" w:hAnsi="宋体" w:cs="宋体"/>
          <w:color w:val="auto"/>
          <w:highlight w:val="none"/>
        </w:rPr>
      </w:pPr>
      <w:r/>
      <w:bookmarkStart w:id="24" w:name="_Toc35393627"/>
      <w:r/>
      <w:bookmarkStart w:id="25" w:name="_Toc35393796"/>
      <w:r/>
      <w:bookmarkStart w:id="26" w:name="_Toc28359085"/>
      <w:r/>
      <w:bookmarkStart w:id="27" w:name="_Toc28359008"/>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2.获取方式：本项目采用网上注册登记方式。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3.潜在供应商访问政府采购管理交易系统（苏采云）的网络地址和方法：</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（3）“CA数字证书”的办理材料以及供应商操作手册详见：</w:t>
      </w:r>
      <w:r/>
    </w:p>
    <w:p>
      <w:pPr>
        <w:spacing w:line="360" w:lineRule="auto"/>
        <w:rPr>
          <w:rFonts w:ascii="宋体" w:hAnsi="宋体" w:cs="宋体"/>
          <w:color w:val="auto"/>
          <w:highlight w:val="none"/>
        </w:rPr>
      </w:pPr>
      <w:r>
        <w:rPr>
          <w:rFonts w:hint="eastAsia" w:ascii="宋体" w:hAnsi="宋体" w:cs="宋体"/>
          <w:color w:val="auto"/>
          <w:highlight w:val="none"/>
        </w:rPr>
        <w:t xml:space="preserve">http://zfcg.yangzhou.gov.cn/xzzx/art/2023/art_4d7de1f7865f4a2894fc22bc452f94d8.html。</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（4）潜在供应商访问“苏采云”系统的网络地址和方法：“苏采云”系统的网址：http：//jszfcg.jsczt.cn/。</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（6）招标代理机构（采购代理机构）将数据电文形式的采购文件加载至“苏采云”系统，供潜在供应商下载或者查阅。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（7）苏采云系统使用谷歌浏览器参与不见面开标。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6.本次招标不收取投标保证金。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7.有关本次招标的事项若存在变动或修改，敬请及时关注“中国政府采购网”、“江苏省政府采购网”、“扬州市政府采购网”、“扬州市广陵区政府采购网”发布的信息。</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8.本项目招标文件中所有斜体下划线部分为实质性条款，如不满足，则为无效投标。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9.如在开标时间发生系统崩溃等不可预见的情况，造成开评标活动无法正常进行的，将延迟开评标，具体开评标时间另行通知。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10.为落实好政府采购履约资金扶持政策，中标/成交供应商可凭政府采购合同办理融资贷款，详见江苏政府采购网“政采贷”专栏。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11.本项目严格执行政府采购关于支持节能产品</w:t>
      </w:r>
      <w:r>
        <w:rPr>
          <w:rFonts w:hint="eastAsia" w:ascii="宋体" w:hAnsi="宋体" w:cs="宋体"/>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12.供应商对于所投产品的包装应按照“财办库〔2020〕123号《关于印发《商品包装政府采购需求标准（试行）》、《快递包装政府采购需求标准（试行）》的通知》”执行。</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七、对本次招标提出询问，请按以下方式联系。</w:t>
      </w:r>
      <w:bookmarkEnd w:id="24"/>
      <w:r/>
      <w:bookmarkEnd w:id="25"/>
      <w:r/>
      <w:bookmarkEnd w:id="26"/>
      <w:r/>
      <w:bookmarkEnd w:id="2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spacing w:line="360" w:lineRule="auto"/>
        <w:rPr>
          <w:rFonts w:ascii="宋体" w:hAnsi="宋体" w:cs="宋体"/>
          <w:color w:val="auto"/>
          <w:szCs w:val="21"/>
          <w:highlight w:val="none"/>
        </w:rPr>
      </w:pPr>
      <w:r/>
      <w:bookmarkStart w:id="28" w:name="_Toc28359086"/>
      <w:r/>
      <w:bookmarkStart w:id="29" w:name="_Toc28359009"/>
      <w:r>
        <w:rPr>
          <w:rFonts w:hint="eastAsia" w:ascii="宋体" w:hAnsi="宋体" w:cs="宋体"/>
          <w:color w:val="auto"/>
          <w:szCs w:val="21"/>
          <w:highlight w:val="none"/>
        </w:rPr>
        <w:t xml:space="preserve">名    称：扬州市公安局广陵分局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地    址：扬州市广陵区临江路199号</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联 系 人：罗主任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联系电话：0514-806800</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3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bookmarkEnd w:id="28"/>
      <w:r/>
      <w:bookmarkEnd w:id="29"/>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称：江苏志诚工程咨询管理有限公司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址：扬州市邗江区文昌西路305号金都汇商务楼3楼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 系 人：董琪</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联系电话：0514-80820678</w:t>
      </w:r>
      <w:r/>
    </w:p>
    <w:p>
      <w:pPr>
        <w:ind w:firstLine="420"/>
        <w:spacing w:line="360" w:lineRule="auto"/>
        <w:rPr>
          <w:rFonts w:ascii="宋体" w:hAnsi="宋体" w:cs="宋体"/>
          <w:color w:val="auto"/>
          <w:szCs w:val="21"/>
          <w:highlight w:val="none"/>
        </w:rPr>
      </w:pPr>
      <w:r/>
      <w:bookmarkStart w:id="30" w:name="_Toc28359025"/>
      <w:r/>
      <w:bookmarkStart w:id="31" w:name="_Toc28359102"/>
      <w:r/>
      <w:bookmarkStart w:id="32" w:name="_Toc35393643"/>
      <w:r/>
      <w:bookmarkStart w:id="33" w:name="_Toc35393812"/>
      <w:r>
        <w:rPr>
          <w:rFonts w:hint="eastAsia" w:ascii="宋体" w:hAnsi="宋体" w:cs="宋体"/>
          <w:color w:val="auto"/>
          <w:szCs w:val="21"/>
          <w:highlight w:val="none"/>
        </w:rPr>
        <w:t xml:space="preserve">3.项目联系方式</w:t>
      </w:r>
      <w:bookmarkEnd w:id="30"/>
      <w:r/>
      <w:bookmarkEnd w:id="31"/>
      <w:r/>
      <w:bookmarkEnd w:id="32"/>
      <w:r/>
      <w:bookmarkEnd w:id="3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项目联系人：董琪</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联系电话：0514-80820678</w:t>
      </w:r>
      <w:bookmarkEnd w:id="1"/>
      <w:r/>
      <w:r/>
    </w:p>
    <w:p>
      <w:pPr>
        <w:pStyle w:val="1051"/>
        <w:ind w:firstLine="422"/>
        <w:spacing w:line="360" w:lineRule="auto"/>
        <w:rPr>
          <w:rFonts w:ascii="宋体" w:hAnsi="宋体" w:cs="宋体"/>
          <w:b/>
          <w:bCs/>
          <w:color w:val="auto"/>
          <w:szCs w:val="21"/>
          <w:highlight w:val="none"/>
        </w:rPr>
      </w:pPr>
      <w:r/>
      <w:bookmarkStart w:id="34" w:name="_Toc497133091"/>
      <w:r/>
      <w:bookmarkStart w:id="35" w:name="_Toc497133092"/>
      <w:r/>
      <w:r/>
    </w:p>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江苏志诚工程咨询管理有限公司</w:t>
      </w:r>
      <w:r/>
    </w:p>
    <w:p>
      <w:pPr>
        <w:jc w:val="right"/>
        <w:spacing w:line="360" w:lineRule="auto"/>
        <w:rPr>
          <w:rFonts w:ascii="宋体" w:hAnsi="宋体" w:cs="宋体"/>
          <w:color w:val="auto"/>
          <w:szCs w:val="21"/>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Cs w:val="21"/>
          <w:highlight w:val="none"/>
        </w:rPr>
        <w:t xml:space="preserve">2025年12月</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日</w:t>
      </w:r>
      <w:bookmarkEnd w:id="34"/>
      <w:r/>
      <w:r/>
    </w:p>
    <w:p>
      <w:pPr>
        <w:pStyle w:val="1042"/>
        <w:numPr>
          <w:ilvl w:val="0"/>
          <w:numId w:val="0"/>
        </w:numPr>
        <w:rPr>
          <w:rFonts w:ascii="宋体" w:hAnsi="宋体" w:cs="宋体"/>
          <w:color w:val="auto"/>
          <w:highlight w:val="none"/>
        </w:rPr>
      </w:pPr>
      <w:r/>
      <w:bookmarkStart w:id="36" w:name="_Toc10032"/>
      <w:r>
        <w:rPr>
          <w:rFonts w:hint="eastAsia" w:ascii="宋体" w:hAnsi="宋体" w:cs="宋体"/>
          <w:color w:val="auto"/>
          <w:highlight w:val="none"/>
        </w:rPr>
        <w:t xml:space="preserve">第二章 投标人须知</w:t>
      </w:r>
      <w:bookmarkEnd w:id="36"/>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1.1本次招标采取公开招标方式，本招标文件仅适用于JSZC-321002-JSZC-G2025-0105号项目。</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4.2本次采购由中标人在领取中标通知书前参照《招标代理服务收费管理暂行办法》(计价格【2002】1980号文)标准一次性支付给招标代理机构代理服务费。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（3）代理服务费不在报价中单列，由中标人支付给代理机构。</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代理服务费开户银行：招商银行扬州邗江支行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开户名称：江苏志诚工程咨询管理有限公司扬州分公司</w:t>
      </w:r>
      <w:r/>
    </w:p>
    <w:p>
      <w:pPr>
        <w:ind w:firstLine="42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开户账号：514902779610802</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4.3专家评审费按照《扬州市财政局关于进一步规范扬州市政府采购专家评审费标准的通知》（扬财购〔2020〕40号）执行。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8.3招标文件的修改将在“中国政府采购网”、“江苏省政府采购网”、“扬州市政府采购网”、“扬州市广陵区政府采购网”公布，补充文件将作为招标文件的组成部分，并对投标人具有约束力。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（8）其他（投标人认为有必要提供的声明和文件，如有自拟并自行添加）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12、投标配置与分项报价表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12.3有关费用处理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12.4其它费用处理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12.5投标货币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12.6 投标配置与分项报价表上的价格应按下列方式分开填写：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2、项目单价按投标配置及分项报价表中要求填报。</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13.4 详细阐述所投货物的主要组成部分、功能设计、实现思路及关键技术；</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13.5 投标人认为需要的其他技术文件或说明。</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cs="宋体"/>
          <w:b/>
          <w:color w:val="auto"/>
          <w:szCs w:val="21"/>
          <w:highlight w:val="none"/>
        </w:rPr>
      </w:pPr>
      <w:r/>
      <w:bookmarkStart w:id="37" w:name="_Toc16938541"/>
      <w:r/>
      <w:bookmarkStart w:id="38" w:name="_Toc20823297"/>
      <w:r/>
      <w:bookmarkStart w:id="39" w:name="_Toc513029225"/>
      <w:r/>
      <w:bookmarkStart w:id="40" w:name="_Toc462564084"/>
      <w:r>
        <w:rPr>
          <w:rFonts w:hint="eastAsia" w:ascii="宋体" w:hAnsi="宋体" w:cs="宋体"/>
          <w:b/>
          <w:color w:val="auto"/>
          <w:szCs w:val="21"/>
          <w:highlight w:val="none"/>
        </w:rPr>
        <w:t xml:space="preserve">17、投标文件</w:t>
      </w:r>
      <w:bookmarkEnd w:id="37"/>
      <w:r/>
      <w:bookmarkEnd w:id="38"/>
      <w:r/>
      <w:bookmarkEnd w:id="39"/>
      <w:r/>
      <w:bookmarkEnd w:id="40"/>
      <w:r>
        <w:rPr>
          <w:rFonts w:hint="eastAsia" w:ascii="宋体" w:hAnsi="宋体" w:cs="宋体"/>
          <w:b/>
          <w:color w:val="auto"/>
          <w:szCs w:val="21"/>
          <w:highlight w:val="none"/>
        </w:rPr>
        <w:t xml:space="preserve">的递交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1" w:name="_Toc513029226"/>
      <w:r/>
      <w:bookmarkStart w:id="42" w:name="_Toc16938542"/>
      <w:r/>
      <w:bookmarkStart w:id="43" w:name="_Toc20823298"/>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17.2政府采购管理交易系统（苏采云）相关要求是本招标文件的组成部分。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41"/>
      <w:r/>
      <w:bookmarkEnd w:id="42"/>
      <w:r/>
      <w:bookmarkEnd w:id="43"/>
      <w:r/>
      <w:r/>
    </w:p>
    <w:p>
      <w:pPr>
        <w:ind w:firstLine="420"/>
        <w:spacing w:line="360" w:lineRule="auto"/>
        <w:rPr>
          <w:rFonts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cs="宋体"/>
          <w:b/>
          <w:color w:val="auto"/>
          <w:szCs w:val="21"/>
          <w:highlight w:val="none"/>
        </w:rPr>
      </w:pPr>
      <w:r/>
      <w:bookmarkStart w:id="44" w:name="_Toc16938543"/>
      <w:r/>
      <w:bookmarkStart w:id="45" w:name="_Toc20823299"/>
      <w:r/>
      <w:bookmarkStart w:id="46" w:name="_Toc513029227"/>
      <w:r>
        <w:rPr>
          <w:rFonts w:hint="eastAsia" w:ascii="宋体" w:hAnsi="宋体" w:cs="宋体"/>
          <w:b/>
          <w:color w:val="auto"/>
          <w:szCs w:val="21"/>
          <w:highlight w:val="none"/>
        </w:rPr>
        <w:t xml:space="preserve">19、投标文件</w:t>
      </w:r>
      <w:bookmarkEnd w:id="44"/>
      <w:r/>
      <w:bookmarkEnd w:id="45"/>
      <w:r/>
      <w:bookmarkEnd w:id="46"/>
      <w:r>
        <w:rPr>
          <w:rFonts w:hint="eastAsia" w:ascii="宋体" w:hAnsi="宋体" w:cs="宋体"/>
          <w:b/>
          <w:color w:val="auto"/>
          <w:szCs w:val="21"/>
          <w:highlight w:val="none"/>
        </w:rPr>
        <w:t xml:space="preserve">的拒收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spacing w:line="360" w:lineRule="auto"/>
        <w:rPr>
          <w:rFonts w:ascii="宋体" w:hAnsi="宋体" w:cs="宋体"/>
          <w:b/>
          <w:color w:val="auto"/>
          <w:szCs w:val="21"/>
          <w:highlight w:val="none"/>
        </w:rPr>
      </w:pPr>
      <w:r/>
      <w:bookmarkStart w:id="47" w:name="_Toc20823300"/>
      <w:r/>
      <w:bookmarkStart w:id="48" w:name="_Toc16938544"/>
      <w:r/>
      <w:bookmarkStart w:id="49" w:name="_Toc513029228"/>
      <w:r>
        <w:rPr>
          <w:rFonts w:hint="eastAsia" w:ascii="宋体" w:hAnsi="宋体" w:cs="宋体"/>
          <w:b/>
          <w:color w:val="auto"/>
          <w:szCs w:val="21"/>
          <w:highlight w:val="none"/>
        </w:rPr>
        <w:t xml:space="preserve">20、投标文件的撤回和修改</w:t>
      </w:r>
      <w:bookmarkEnd w:id="47"/>
      <w:r/>
      <w:bookmarkEnd w:id="48"/>
      <w:r/>
      <w:bookmarkEnd w:id="49"/>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24.3 接到评委会澄清要求的投标人如未按规定做出澄清，其风险由投标人自行承担。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Cs/>
          <w:i/>
          <w:iCs/>
          <w:color w:val="auto"/>
          <w:szCs w:val="21"/>
          <w:highlight w:val="none"/>
          <w:u w:val="single"/>
        </w:rPr>
        <w:t xml:space="preserve">本招标文件中斜体且有下划线部分为实质性要求和条件</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26.1.13 本次采购执行江苏省财政厅《关于推动解决政府采购异常低价问题相关工作的通知》（苏财购〔2025〕62号）的文件要求。</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（一）评审过程中出现下列情形之一的，评审委员会应当启动异常低价投标（响应）审查程序：</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1.投标（响应）报价低于采购项目预算50%的，即投标（响 应）报价&lt;采购项目预算 ×50%；</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2.投标（响应）报价低于采购项目最高限价45% 的，即投标（响应）报价&lt;采购项目最高限价 ×45%；</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3.评审委员会认定的供应商报价过低、有可能影响产品质量或者不能诚信履约的其他情形。</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26.1.14其他法律、法规及本招标文件规定的属无效投标的情形。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27.3代理机构将在“中国政府采购网”、“江苏省政府采购网”、“扬州市政府采购网”、“扬州市广陵区政府采购网”发布中标公告，公告期限为1个工作日。</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经查实，不同供应商的电子响应文件出自同一台电脑的；不同供应商的响应文件制作工具客户端标识码存在一致的；不同供应商从同一互联网协议地址上传响应文件的，响应文件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27.5.2不同投标人的投标文件由同一单位或者个人编制。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27.5.3不同投标人委托同一单位或者个人办理投标事宜。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27.5.4 不同投标人的投标文件载明的项目管理成员或者联系人员为同一人。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27.5.5不同投标人的投标文件异常一致或者投标报价呈规律性差异。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27.5.6不同投标人的投标文件相互混装。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28.5 代理机构及采购人只接收以纸质原件形式送达的质疑，同时需与采购代理机构经办人确认是否收到《质疑函》，如供应商未按上述要求去做，将自行承担所产生的风险。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30.3 合同在“政府采购管理交易系统（苏采云）”中签订，签订合同后，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31、电子投标文件要求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31.1政府采购管理交易系统（苏采云）相关要求是本招标文件的组成部分。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31.2投标人应对 CA 证书妥善保管，如被他人盗用投标，因此带来的结果均由投标人自行承担。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31.3投标人应当对招标文件提出的要求和条件作出实质性响应，并在电子投标系统逐条应答。</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3"/>
        </w:num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提交投标文件的截止时间（投标截止时间）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0"/>
        <w:spacing w:line="360" w:lineRule="auto"/>
        <w:rPr>
          <w:rFonts w:ascii="宋体" w:hAnsi="宋体" w:cs="宋体"/>
          <w:bCs/>
          <w:color w:val="auto"/>
          <w:highlight w:val="none"/>
        </w:rPr>
      </w:pPr>
      <w:r>
        <w:rPr>
          <w:rFonts w:hint="eastAsia" w:ascii="宋体" w:hAnsi="宋体" w:cs="宋体"/>
          <w:bCs/>
          <w:color w:val="auto"/>
          <w:szCs w:val="21"/>
          <w:highlight w:val="none"/>
        </w:rPr>
        <w:t xml:space="preserve">32.2各投标人应在规定时间内凭CA证书进行网上解密。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33、其他</w:t>
      </w:r>
      <w:r/>
    </w:p>
    <w:p>
      <w:pPr>
        <w:ind w:firstLine="420"/>
        <w:spacing w:line="360" w:lineRule="auto"/>
        <w:rPr>
          <w:rFonts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ind w:firstLine="720"/>
        <w:spacing w:line="360" w:lineRule="auto"/>
        <w:rPr>
          <w:rFonts w:ascii="宋体" w:hAnsi="宋体" w:cs="宋体"/>
          <w:color w:val="auto"/>
          <w:sz w:val="36"/>
          <w:highlight w:val="none"/>
        </w:rPr>
      </w:pPr>
      <w:r>
        <w:rPr>
          <w:rFonts w:ascii="宋体" w:hAnsi="宋体" w:cs="宋体"/>
          <w:color w:val="auto"/>
          <w:sz w:val="36"/>
          <w:highlight w:val="none"/>
        </w:rPr>
      </w:r>
      <w:bookmarkEnd w:id="35"/>
      <w:r/>
      <w:r/>
    </w:p>
    <w:p>
      <w:pPr>
        <w:pStyle w:val="1052"/>
        <w:ind w:firstLine="210"/>
        <w:spacing w:before="120" w:after="120" w:line="360" w:lineRule="auto"/>
        <w:rPr>
          <w:rFonts w:hAnsi="宋体" w:cs="宋体"/>
          <w:color w:val="auto"/>
          <w:sz w:val="21"/>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Ansi="宋体" w:cs="宋体"/>
          <w:color w:val="auto"/>
          <w:sz w:val="21"/>
          <w:highlight w:val="none"/>
        </w:rPr>
      </w:r>
      <w:r/>
    </w:p>
    <w:p>
      <w:pPr>
        <w:pStyle w:val="1050"/>
        <w:jc w:val="center"/>
        <w:spacing w:line="360" w:lineRule="auto"/>
        <w:rPr>
          <w:rFonts w:ascii="宋体" w:hAnsi="宋体" w:cs="宋体"/>
          <w:color w:val="auto"/>
          <w:sz w:val="36"/>
          <w:highlight w:val="none"/>
        </w:rPr>
      </w:pPr>
      <w:r/>
      <w:bookmarkStart w:id="50" w:name="_Toc497133093"/>
      <w:r>
        <w:rPr>
          <w:rFonts w:hint="eastAsia" w:ascii="宋体" w:hAnsi="宋体" w:cs="宋体"/>
          <w:color w:val="auto"/>
          <w:sz w:val="36"/>
          <w:highlight w:val="none"/>
        </w:rPr>
        <w:t xml:space="preserve">第三章 合同条款及格式</w:t>
      </w:r>
      <w:bookmarkEnd w:id="50"/>
      <w:r/>
      <w:r/>
    </w:p>
    <w:p>
      <w:pPr>
        <w:jc w:val="left"/>
        <w:spacing w:line="360" w:lineRule="auto"/>
        <w:rPr>
          <w:rFonts w:ascii="宋体" w:hAnsi="宋体" w:cs="宋体"/>
          <w:color w:val="auto"/>
          <w:highlight w:val="none"/>
        </w:rPr>
        <w:outlineLvl w:val="0"/>
      </w:pPr>
      <w:r/>
      <w:bookmarkStart w:id="51" w:name="_Hlt16619369"/>
      <w:r/>
      <w:bookmarkEnd w:id="51"/>
      <w:r/>
      <w:bookmarkStart w:id="52" w:name="_Toc497133122"/>
      <w:r>
        <w:rPr>
          <w:rFonts w:hint="eastAsia" w:ascii="宋体" w:hAnsi="宋体" w:cs="宋体"/>
          <w:color w:val="auto"/>
          <w:highlight w:val="none"/>
        </w:rPr>
        <w:t xml:space="preserve">以下为中标后签</w:t>
      </w:r>
      <w:r>
        <w:rPr>
          <w:rFonts w:hint="eastAsia" w:ascii="宋体" w:hAnsi="宋体" w:cs="宋体"/>
          <w:color w:val="auto"/>
          <w:highlight w:val="none"/>
          <w:lang w:val="en-US" w:eastAsia="zh-CN"/>
        </w:rPr>
        <w:t xml:space="preserve">订</w:t>
      </w:r>
      <w:r>
        <w:rPr>
          <w:rFonts w:hint="eastAsia" w:ascii="宋体" w:hAnsi="宋体" w:cs="宋体"/>
          <w:color w:val="auto"/>
          <w:highlight w:val="none"/>
        </w:rPr>
        <w:t xml:space="preserve">本项目合同的通用条款，中标人不得提出实质性的修改，关于专用条款将由采购人与中标人结合本项目具体情况协商后签订。</w:t>
      </w:r>
      <w:r/>
    </w:p>
    <w:p>
      <w:pPr>
        <w:jc w:val="center"/>
        <w:spacing w:line="360" w:lineRule="auto"/>
        <w:rPr>
          <w:rFonts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扬州市政府采购合同（货物）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项目名称：</w:t>
      </w:r>
      <w:r>
        <w:rPr>
          <w:rFonts w:hint="eastAsia" w:ascii="宋体" w:hAnsi="宋体" w:cs="宋体"/>
          <w:bCs/>
          <w:color w:val="auto"/>
          <w:szCs w:val="21"/>
          <w:highlight w:val="none"/>
        </w:rPr>
        <w:t xml:space="preserve">2025年广陵区“雪亮工程”建设项目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项目编号：JSZC-321002-JSZC-G2025-0105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甲方：（买方）扬州市公安局广陵分局</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乙方：（卖方）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见证方：江苏志诚工程咨询管理有限公司</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甲、乙双方根据江苏志诚工程咨询管理有限公司</w:t>
      </w:r>
      <w:r>
        <w:rPr>
          <w:rFonts w:hint="eastAsia" w:ascii="宋体" w:hAnsi="宋体" w:cs="宋体"/>
          <w:bCs/>
          <w:color w:val="auto"/>
          <w:highlight w:val="none"/>
          <w:u w:val="single"/>
        </w:rPr>
        <w:t xml:space="preserve">2025年广陵区“雪亮工程”建设项目</w:t>
      </w:r>
      <w:r>
        <w:rPr>
          <w:rFonts w:hint="eastAsia" w:ascii="宋体" w:hAnsi="宋体" w:cs="宋体"/>
          <w:color w:val="auto"/>
          <w:highlight w:val="none"/>
        </w:rPr>
        <w:t xml:space="preserve">公开招标的结果，签署本合同。</w:t>
      </w:r>
      <w:r/>
    </w:p>
    <w:p>
      <w:pPr>
        <w:pStyle w:val="1052"/>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一、货物及伴随服务</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1.1 货物及服务名称：</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1.2 型号规格：</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1.3 数量（单位）</w:t>
      </w:r>
      <w:r/>
    </w:p>
    <w:p>
      <w:pPr>
        <w:pStyle w:val="1052"/>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二、合同金额</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2.1 本合同金额为（大写）：人民币_____________圆（¥______________）。</w:t>
      </w:r>
      <w:r/>
    </w:p>
    <w:p>
      <w:pPr>
        <w:pStyle w:val="1052"/>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三、技术资料</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3.1乙方应按招标文件规定的时间向甲方提供使用货物及服务的有关技术资料。</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52"/>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四、知识产权</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052"/>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五、产权担保</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5.1 乙方保证所交付的货物及服务的所有权完全属于乙方且无任何抵押、查封等产权瑕疵。</w:t>
      </w:r>
      <w:r/>
    </w:p>
    <w:p>
      <w:pPr>
        <w:pStyle w:val="1052"/>
        <w:ind w:firstLine="422"/>
        <w:spacing w:line="360" w:lineRule="auto"/>
        <w:rPr>
          <w:rFonts w:hAnsi="宋体" w:cs="宋体"/>
          <w:b/>
          <w:bCs/>
          <w:color w:val="auto"/>
          <w:sz w:val="21"/>
          <w:highlight w:val="none"/>
        </w:rPr>
      </w:pPr>
      <w:r/>
      <w:bookmarkStart w:id="53" w:name="OLE_LINK3"/>
      <w:r>
        <w:rPr>
          <w:rFonts w:hint="eastAsia" w:hAnsi="宋体" w:cs="宋体"/>
          <w:b/>
          <w:bCs/>
          <w:color w:val="auto"/>
          <w:sz w:val="21"/>
          <w:highlight w:val="none"/>
        </w:rPr>
        <w:t xml:space="preserve">六、履约保证金</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6.1 </w:t>
      </w:r>
      <w:bookmarkStart w:id="54" w:name="OLE_LINK4"/>
      <w:r>
        <w:rPr>
          <w:rFonts w:hint="eastAsia" w:hAnsi="宋体" w:cs="宋体"/>
          <w:color w:val="auto"/>
          <w:sz w:val="21"/>
          <w:highlight w:val="none"/>
        </w:rPr>
        <w:t xml:space="preserve">收取履约保证金的，允许中标人自主选择支票、汇票、本票、保函等非现金形式缴纳或提交</w:t>
      </w:r>
      <w:bookmarkEnd w:id="54"/>
      <w:r>
        <w:rPr>
          <w:rFonts w:hint="eastAsia" w:hAnsi="宋体" w:cs="宋体"/>
          <w:color w:val="auto"/>
          <w:sz w:val="21"/>
          <w:highlight w:val="none"/>
        </w:rPr>
        <w:t xml:space="preserve">，应当在采购合同中约定履约保证金退还的方式、时间、条件和不予退还的情形，明确逾期退还履约保证金的违约责任。</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6.4 履约保证金收取：</w:t>
      </w:r>
      <w:r>
        <w:rPr>
          <w:rFonts w:hint="eastAsia" w:hAnsi="宋体" w:cs="宋体"/>
          <w:color w:val="auto"/>
          <w:sz w:val="21"/>
          <w:highlight w:val="none"/>
          <w:u w:val="single"/>
        </w:rPr>
        <w:t xml:space="preserve">无</w:t>
      </w:r>
      <w:bookmarkEnd w:id="53"/>
      <w:r/>
      <w:r/>
    </w:p>
    <w:p>
      <w:pPr>
        <w:pStyle w:val="1052"/>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七、转包或分包</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7.1本合同范围的货物及服务，应由乙方直接供应，不得转让他人供应；</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7.2 除非得到甲方的书面同意，乙方不得部分分包给他人供应。</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7.3如有转让和未经甲方同意的分包行为，甲方有权给予终止合同。</w:t>
      </w:r>
      <w:r/>
    </w:p>
    <w:p>
      <w:pPr>
        <w:pStyle w:val="1052"/>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八、质保期</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8.1 质保期</w:t>
      </w:r>
      <w:r>
        <w:rPr>
          <w:rFonts w:hint="eastAsia" w:hAnsi="宋体" w:cs="宋体"/>
          <w:color w:val="auto"/>
          <w:sz w:val="21"/>
          <w:highlight w:val="none"/>
          <w:u w:val="single"/>
        </w:rPr>
        <w:t xml:space="preserve">    </w:t>
      </w:r>
      <w:r>
        <w:rPr>
          <w:rFonts w:hint="eastAsia" w:hAnsi="宋体" w:cs="宋体"/>
          <w:color w:val="auto"/>
          <w:sz w:val="21"/>
          <w:highlight w:val="none"/>
        </w:rPr>
        <w:t xml:space="preserve">年。（自交货验收合格之日起计）</w:t>
      </w:r>
      <w:r/>
    </w:p>
    <w:p>
      <w:pPr>
        <w:pStyle w:val="1052"/>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九、交付期、交付方式及交付地点</w:t>
      </w:r>
      <w:r/>
    </w:p>
    <w:p>
      <w:pPr>
        <w:pStyle w:val="1052"/>
        <w:ind w:firstLine="420"/>
        <w:spacing w:line="360" w:lineRule="auto"/>
        <w:rPr>
          <w:rFonts w:hAnsi="宋体" w:cs="宋体"/>
          <w:color w:val="auto"/>
          <w:sz w:val="21"/>
          <w:highlight w:val="none"/>
          <w:u w:val="single"/>
        </w:rPr>
      </w:pPr>
      <w:r>
        <w:rPr>
          <w:rFonts w:hint="eastAsia" w:hAnsi="宋体" w:cs="宋体"/>
          <w:color w:val="auto"/>
          <w:sz w:val="21"/>
          <w:highlight w:val="none"/>
        </w:rPr>
        <w:t xml:space="preserve">9.1 交付期：</w:t>
      </w:r>
      <w:r>
        <w:rPr>
          <w:rFonts w:hint="eastAsia" w:hAnsi="宋体" w:cs="宋体"/>
          <w:color w:val="auto"/>
          <w:sz w:val="21"/>
          <w:highlight w:val="none"/>
          <w:u w:val="single"/>
        </w:rPr>
        <w:t xml:space="preserve">            </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9.2 交付方式：</w:t>
      </w:r>
      <w:r>
        <w:rPr>
          <w:rFonts w:hint="eastAsia" w:hAnsi="宋体" w:cs="宋体"/>
          <w:color w:val="auto"/>
          <w:sz w:val="21"/>
          <w:highlight w:val="none"/>
          <w:u w:val="single"/>
        </w:rPr>
        <w:t xml:space="preserve">甲方指定方式</w:t>
      </w:r>
      <w:r/>
    </w:p>
    <w:p>
      <w:pPr>
        <w:pStyle w:val="1052"/>
        <w:ind w:firstLine="420"/>
        <w:spacing w:line="360" w:lineRule="auto"/>
        <w:rPr>
          <w:rFonts w:hAnsi="宋体" w:cs="宋体"/>
          <w:color w:val="auto"/>
          <w:sz w:val="21"/>
          <w:highlight w:val="none"/>
          <w:u w:val="single"/>
        </w:rPr>
      </w:pPr>
      <w:r>
        <w:rPr>
          <w:rFonts w:hint="eastAsia" w:hAnsi="宋体" w:cs="宋体"/>
          <w:color w:val="auto"/>
          <w:sz w:val="21"/>
          <w:highlight w:val="none"/>
        </w:rPr>
        <w:t xml:space="preserve">9.3 交付地点：</w:t>
      </w:r>
      <w:r>
        <w:rPr>
          <w:rFonts w:hint="eastAsia" w:hAnsi="宋体" w:cs="宋体"/>
          <w:color w:val="auto"/>
          <w:sz w:val="21"/>
          <w:highlight w:val="none"/>
          <w:u w:val="single"/>
        </w:rPr>
        <w:t xml:space="preserve">甲方指定地点</w:t>
      </w:r>
      <w:r/>
    </w:p>
    <w:p>
      <w:pPr>
        <w:pStyle w:val="1052"/>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 甲方付款方式：</w:t>
      </w:r>
      <w:r/>
    </w:p>
    <w:p>
      <w:pPr>
        <w:pStyle w:val="1052"/>
        <w:ind w:firstLine="420"/>
        <w:spacing w:line="360" w:lineRule="auto"/>
        <w:rPr>
          <w:rFonts w:hAnsi="宋体" w:cs="宋体"/>
          <w:color w:val="auto"/>
          <w:sz w:val="21"/>
          <w:highlight w:val="none"/>
          <w:u w:val="single"/>
        </w:rPr>
      </w:pPr>
      <w:r>
        <w:rPr>
          <w:rFonts w:hint="eastAsia" w:hAnsi="宋体" w:cs="宋体"/>
          <w:color w:val="auto"/>
          <w:sz w:val="21"/>
          <w:highlight w:val="none"/>
          <w:u w:val="single"/>
        </w:rPr>
        <w:t xml:space="preserve">合同签订后，乙方向甲方开具发票，甲方自收到发票之日起10个工作日内，支付合同价的30%作为预付款；项目试运营结束后，乙方向甲方开具发票，甲方自收到发票之日起10个工作日内，支付至合同价的40%；验收合格并经审计后，乙方向甲方开具发票，甲方自收到发票之日起10个工作日内支付剩余款项。</w:t>
      </w:r>
      <w:r/>
    </w:p>
    <w:p>
      <w:pPr>
        <w:pStyle w:val="1052"/>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十一、税费</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11.1本合同执行中相关的一切税费均由乙方负担。</w:t>
      </w:r>
      <w:r/>
    </w:p>
    <w:p>
      <w:pPr>
        <w:pStyle w:val="1052"/>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十二、质量保证及售后服务</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12.1 乙方应按招标文件规定的货物及服务性能、技术要求、质量标准向甲方提供。</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⑴更换：由乙方承担所发生的全部费用。</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⑵贬值处理：由甲乙双方合议定价。</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⑶退还处理：乙方应退还甲方支付的合同款，同时应承担该货物及服务的直接费用（运输、保险、检验、款项利息及银行手续费等）。</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12.3 如在使用过程中发生质量问题，乙方在接到甲方通知后在</w:t>
      </w:r>
      <w:r>
        <w:rPr>
          <w:rFonts w:hint="eastAsia" w:hAnsi="宋体" w:cs="宋体"/>
          <w:color w:val="auto"/>
          <w:sz w:val="21"/>
          <w:highlight w:val="none"/>
          <w:u w:val="single"/>
        </w:rPr>
        <w:t xml:space="preserve">   </w:t>
      </w:r>
      <w:r>
        <w:rPr>
          <w:rFonts w:hint="eastAsia" w:hAnsi="宋体" w:cs="宋体"/>
          <w:color w:val="auto"/>
          <w:sz w:val="21"/>
          <w:highlight w:val="none"/>
        </w:rPr>
        <w:t xml:space="preserve">小时内到达甲方现场。</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12.4 在质保期内，乙方应对货物及服务出现的质量及安全问题负责处理解决并承担一切费用。</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12.5上述的货物及服务免费保修期为</w:t>
      </w:r>
      <w:r>
        <w:rPr>
          <w:rFonts w:hint="eastAsia" w:hAnsi="宋体" w:cs="宋体"/>
          <w:color w:val="auto"/>
          <w:sz w:val="21"/>
          <w:highlight w:val="none"/>
          <w:u w:val="single"/>
        </w:rPr>
        <w:t xml:space="preserve">      </w:t>
      </w:r>
      <w:r>
        <w:rPr>
          <w:rFonts w:hint="eastAsia" w:hAnsi="宋体" w:cs="宋体"/>
          <w:color w:val="auto"/>
          <w:sz w:val="21"/>
          <w:highlight w:val="none"/>
        </w:rPr>
        <w:t xml:space="preserve">年，因人为因素出现的故障不在免费保修范围内。超过保修期的机器设备，终生维修，维修时只收部件成本费。</w:t>
      </w:r>
      <w:r/>
    </w:p>
    <w:p>
      <w:pPr>
        <w:pStyle w:val="1052"/>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十三、调试和验收</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13.4 对技术复杂的货物及服务，甲方可请国家认可的专业检测机构参与初步验收及最终验收，并由其出具质量检测报告。</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13.5 验收时乙方必须在现场，验收完毕后作出验收结果报告；验收费用由甲乙双方协商解决。</w:t>
      </w:r>
      <w:r/>
    </w:p>
    <w:p>
      <w:pPr>
        <w:pStyle w:val="1052"/>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十四、货物及服务包装、发运及运输</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14.2 使用说明书、质量检验证明书、随配附件和工具以及清单一并交付甲方。</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14.3 乙方在货物及服务发运手续办理完毕后24小时内或交付到甲方48小时前通知甲方，以准备接受交付。</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14.4 货物在交付甲方前发生的风险均由乙方负责。</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14.5 货物及服务在规定的交付期限内由乙方送达甲方指定的地点视为交付，乙方同时需通知甲方货物及服务已送达。</w:t>
      </w:r>
      <w:r/>
    </w:p>
    <w:p>
      <w:pPr>
        <w:pStyle w:val="1052"/>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十五、违约责任</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15.1 甲方无正当理由拒收货物及服务的，甲方向乙方偿付拒收款项总值的百分之五违约金。</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15.2 甲方无故逾期验收和办理款项支付手续的,甲方应按逾期付款总额每日万分之五向乙方支付违约金。</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1052"/>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十六、不可抗力事件处理</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16.1 在合同有效期内，任何一方因不可抗力事件导致不能履行合同，则合同履行期可延长，其延长期与不可抗力影响期相同。</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16.2 不可抗力事件发生后，应立即通知对方，并寄送有关权威机构出具的证明。</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16.3 不可抗力事件延续120天以上，双方应通过友好协商，确定是否继续履行合同。</w:t>
      </w:r>
      <w:r/>
    </w:p>
    <w:p>
      <w:pPr>
        <w:pStyle w:val="1052"/>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十七、诉讼</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十八、</w:t>
      </w:r>
      <w:r>
        <w:rPr>
          <w:rFonts w:hint="eastAsia" w:ascii="宋体" w:hAnsi="宋体" w:cs="宋体"/>
          <w:bCs/>
          <w:color w:val="auto"/>
          <w:szCs w:val="21"/>
          <w:highlight w:val="none"/>
        </w:rPr>
        <w:t xml:space="preserve">为落实好政府采购履约资金扶持政策，乙方可凭政府采购合同办理融资贷款，详见江苏政府采购网“政采贷”专栏</w:t>
      </w:r>
      <w:r>
        <w:rPr>
          <w:rFonts w:hint="eastAsia" w:ascii="宋体" w:hAnsi="宋体" w:cs="宋体"/>
          <w:color w:val="auto"/>
          <w:szCs w:val="21"/>
          <w:highlight w:val="none"/>
        </w:rPr>
        <w:t xml:space="preserve">。</w:t>
      </w:r>
      <w:r/>
    </w:p>
    <w:p>
      <w:pPr>
        <w:pStyle w:val="1052"/>
        <w:ind w:firstLine="422"/>
        <w:spacing w:line="360" w:lineRule="auto"/>
        <w:rPr>
          <w:rFonts w:hAnsi="宋体" w:cs="宋体"/>
          <w:b/>
          <w:bCs/>
          <w:color w:val="auto"/>
          <w:sz w:val="21"/>
          <w:highlight w:val="none"/>
        </w:rPr>
      </w:pPr>
      <w:r>
        <w:rPr>
          <w:rFonts w:hint="eastAsia" w:hAnsi="宋体" w:cs="宋体"/>
          <w:b/>
          <w:bCs/>
          <w:color w:val="auto"/>
          <w:sz w:val="21"/>
          <w:highlight w:val="none"/>
        </w:rPr>
        <w:t xml:space="preserve">十九、合同生效及其它</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19.1 合同经双方法定代表人签章并加盖单位公章，并经江苏志诚工程咨询管理有限公司见证盖章后生效。</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19.2本合同未尽事宜，遵照《中华人民共和国民法典》有关条文执行。</w:t>
      </w:r>
      <w:r/>
    </w:p>
    <w:p>
      <w:pPr>
        <w:pStyle w:val="1052"/>
        <w:ind w:firstLine="420"/>
        <w:spacing w:line="360" w:lineRule="auto"/>
        <w:rPr>
          <w:rFonts w:hAnsi="宋体" w:cs="宋体"/>
          <w:color w:val="auto"/>
          <w:sz w:val="21"/>
          <w:highlight w:val="none"/>
        </w:rPr>
      </w:pPr>
      <w:r>
        <w:rPr>
          <w:rFonts w:hint="eastAsia" w:hAnsi="宋体" w:cs="宋体"/>
          <w:color w:val="auto"/>
          <w:sz w:val="21"/>
          <w:highlight w:val="none"/>
        </w:rPr>
        <w:t xml:space="preserve">19.3 本合同正本一式四份，具有同等法律效力，甲方、乙方、见证方、财政监管部门各执一份。  </w:t>
      </w:r>
      <w:r/>
    </w:p>
    <w:tbl>
      <w:tblPr>
        <w:tblStyle w:val="1045"/>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52"/>
              <w:spacing w:before="120" w:after="120"/>
              <w:rPr>
                <w:rFonts w:hAnsi="宋体" w:cs="宋体"/>
                <w:color w:val="auto"/>
                <w:sz w:val="21"/>
                <w:highlight w:val="none"/>
              </w:rPr>
            </w:pPr>
            <w:r>
              <w:rPr>
                <w:rFonts w:hint="eastAsia" w:hAnsi="宋体" w:cs="宋体"/>
                <w:color w:val="auto"/>
                <w:sz w:val="21"/>
                <w:highlight w:val="none"/>
              </w:rPr>
              <w:t xml:space="preserve">甲方：扬州市公安局广陵分局</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52"/>
              <w:spacing w:before="120" w:after="120"/>
              <w:rPr>
                <w:rFonts w:hAnsi="宋体" w:cs="宋体"/>
                <w:color w:val="auto"/>
                <w:sz w:val="21"/>
                <w:highlight w:val="none"/>
              </w:rPr>
            </w:pPr>
            <w:r>
              <w:rPr>
                <w:rFonts w:hint="eastAsia" w:hAnsi="宋体" w:cs="宋体"/>
                <w:color w:val="auto"/>
                <w:sz w:val="21"/>
                <w:highlight w:val="none"/>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52"/>
              <w:spacing w:before="120" w:after="120"/>
              <w:rPr>
                <w:rFonts w:hAnsi="宋体" w:cs="宋体"/>
                <w:color w:val="auto"/>
                <w:sz w:val="21"/>
                <w:highlight w:val="none"/>
              </w:rPr>
            </w:pPr>
            <w:r>
              <w:rPr>
                <w:rFonts w:hint="eastAsia" w:hAnsi="宋体" w:cs="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52"/>
              <w:spacing w:before="120" w:after="120"/>
              <w:rPr>
                <w:rFonts w:hAnsi="宋体" w:cs="宋体"/>
                <w:color w:val="auto"/>
                <w:sz w:val="21"/>
                <w:highlight w:val="none"/>
              </w:rPr>
            </w:pPr>
            <w:r>
              <w:rPr>
                <w:rFonts w:hint="eastAsia" w:hAnsi="宋体" w:cs="宋体"/>
                <w:color w:val="auto"/>
                <w:sz w:val="21"/>
                <w:highlight w:val="none"/>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52"/>
              <w:spacing w:before="120" w:after="120"/>
              <w:rPr>
                <w:rFonts w:hAnsi="宋体" w:cs="宋体"/>
                <w:color w:val="auto"/>
                <w:sz w:val="21"/>
                <w:highlight w:val="none"/>
              </w:rPr>
            </w:pPr>
            <w:r>
              <w:rPr>
                <w:rFonts w:hint="eastAsia" w:hAnsi="宋体" w:cs="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52"/>
              <w:spacing w:before="120" w:after="120"/>
              <w:rPr>
                <w:rFonts w:hAnsi="宋体" w:cs="宋体"/>
                <w:color w:val="auto"/>
                <w:sz w:val="21"/>
                <w:highlight w:val="none"/>
              </w:rPr>
            </w:pPr>
            <w:r>
              <w:rPr>
                <w:rFonts w:hint="eastAsia" w:hAnsi="宋体" w:cs="宋体"/>
                <w:color w:val="auto"/>
                <w:sz w:val="21"/>
                <w:highlight w:val="none"/>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52"/>
              <w:spacing w:before="120" w:after="120"/>
              <w:rPr>
                <w:rFonts w:hAnsi="宋体" w:cs="宋体"/>
                <w:color w:val="auto"/>
                <w:sz w:val="21"/>
                <w:highlight w:val="none"/>
              </w:rPr>
            </w:pPr>
            <w:r>
              <w:rPr>
                <w:rFonts w:hint="eastAsia" w:hAnsi="宋体" w:cs="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52"/>
              <w:spacing w:before="120" w:after="120"/>
              <w:rPr>
                <w:rFonts w:hAnsi="宋体" w:cs="宋体"/>
                <w:color w:val="auto"/>
                <w:sz w:val="21"/>
                <w:highlight w:val="none"/>
              </w:rPr>
            </w:pPr>
            <w:r>
              <w:rPr>
                <w:rFonts w:hint="eastAsia" w:hAnsi="宋体" w:cs="宋体"/>
                <w:color w:val="auto"/>
                <w:sz w:val="21"/>
                <w:highlight w:val="none"/>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52"/>
              <w:spacing w:before="120" w:after="120"/>
              <w:rPr>
                <w:rFonts w:hAnsi="宋体" w:cs="宋体"/>
                <w:color w:val="auto"/>
                <w:sz w:val="21"/>
                <w:highlight w:val="none"/>
              </w:rPr>
            </w:pPr>
            <w:r>
              <w:rPr>
                <w:rFonts w:hint="eastAsia" w:hAnsi="宋体" w:cs="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52"/>
              <w:spacing w:before="120" w:after="120"/>
              <w:rPr>
                <w:rFonts w:hAnsi="宋体" w:cs="宋体"/>
                <w:color w:val="auto"/>
                <w:sz w:val="21"/>
                <w:highlight w:val="none"/>
              </w:rPr>
            </w:pPr>
            <w:r>
              <w:rPr>
                <w:rFonts w:hint="eastAsia" w:hAnsi="宋体" w:cs="宋体"/>
                <w:color w:val="auto"/>
                <w:sz w:val="21"/>
                <w:highlight w:val="none"/>
              </w:rPr>
              <w:t xml:space="preserve">日期：     年    月    日</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52"/>
              <w:spacing w:before="120" w:after="120"/>
              <w:rPr>
                <w:rFonts w:hAnsi="宋体" w:cs="宋体"/>
                <w:color w:val="auto"/>
                <w:sz w:val="21"/>
                <w:highlight w:val="none"/>
              </w:rPr>
            </w:pPr>
            <w:r>
              <w:rPr>
                <w:rFonts w:hAnsi="宋体" w:cs="宋体"/>
                <w:color w:val="auto"/>
                <w:sz w:val="21"/>
                <w:highlight w:val="none"/>
              </w:rPr>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52"/>
              <w:spacing w:before="120" w:after="120"/>
              <w:rPr>
                <w:rFonts w:hAnsi="宋体" w:cs="宋体"/>
                <w:color w:val="auto"/>
                <w:sz w:val="21"/>
                <w:highlight w:val="none"/>
              </w:rPr>
            </w:pPr>
            <w:r>
              <w:rPr>
                <w:rFonts w:hAnsi="宋体" w:cs="宋体"/>
                <w:color w:val="auto"/>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52"/>
              <w:spacing w:before="120" w:after="120"/>
              <w:rPr>
                <w:rFonts w:hAnsi="宋体" w:cs="宋体"/>
                <w:color w:val="auto"/>
                <w:sz w:val="21"/>
                <w:highlight w:val="none"/>
              </w:rPr>
            </w:pPr>
            <w:r>
              <w:rPr>
                <w:rFonts w:hint="eastAsia" w:hAnsi="宋体" w:cs="宋体"/>
                <w:color w:val="auto"/>
                <w:sz w:val="21"/>
                <w:highlight w:val="none"/>
              </w:rPr>
              <w:t xml:space="preserve">见证方：江苏志诚工程咨询管理有限公司</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52"/>
              <w:spacing w:before="120" w:after="120"/>
              <w:rPr>
                <w:rFonts w:hAnsi="宋体" w:cs="宋体"/>
                <w:color w:val="auto"/>
                <w:sz w:val="21"/>
                <w:highlight w:val="none"/>
              </w:rPr>
            </w:pPr>
            <w:r>
              <w:rPr>
                <w:rFonts w:hAnsi="宋体" w:cs="宋体"/>
                <w:color w:val="auto"/>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52"/>
              <w:spacing w:before="120" w:after="120"/>
              <w:rPr>
                <w:rFonts w:hAnsi="宋体" w:cs="宋体"/>
                <w:color w:val="auto"/>
                <w:sz w:val="21"/>
                <w:highlight w:val="none"/>
              </w:rPr>
            </w:pPr>
            <w:r>
              <w:rPr>
                <w:rFonts w:hint="eastAsia" w:hAnsi="宋体" w:cs="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52"/>
              <w:spacing w:before="120" w:after="120"/>
              <w:rPr>
                <w:rFonts w:hAnsi="宋体" w:cs="宋体"/>
                <w:color w:val="auto"/>
                <w:sz w:val="21"/>
                <w:highlight w:val="none"/>
              </w:rPr>
            </w:pPr>
            <w:r>
              <w:rPr>
                <w:rFonts w:hAnsi="宋体" w:cs="宋体"/>
                <w:color w:val="auto"/>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spacing w:before="120" w:after="120"/>
              <w:rPr>
                <w:rFonts w:ascii="宋体" w:hAnsi="宋体" w:cs="宋体"/>
                <w:color w:val="auto"/>
                <w:highlight w:val="none"/>
              </w:rPr>
            </w:pPr>
            <w:r>
              <w:rPr>
                <w:rFonts w:hint="eastAsia" w:ascii="宋体" w:hAnsi="宋体" w:cs="宋体"/>
                <w:color w:val="auto"/>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52"/>
              <w:spacing w:before="120" w:after="120"/>
              <w:rPr>
                <w:rFonts w:hAnsi="宋体" w:cs="宋体"/>
                <w:color w:val="auto"/>
                <w:sz w:val="21"/>
                <w:highlight w:val="none"/>
              </w:rPr>
            </w:pPr>
            <w:r>
              <w:rPr>
                <w:rFonts w:hAnsi="宋体" w:cs="宋体"/>
                <w:color w:val="auto"/>
                <w:sz w:val="21"/>
                <w:highlight w:val="none"/>
              </w:rPr>
            </w:r>
            <w:r/>
          </w:p>
        </w:tc>
      </w:tr>
    </w:tbl>
    <w:p>
      <w:pPr>
        <w:pStyle w:val="1050"/>
        <w:jc w:val="center"/>
        <w:spacing w:line="360" w:lineRule="auto"/>
        <w:rPr>
          <w:rFonts w:ascii="宋体" w:hAnsi="宋体" w:cs="宋体"/>
          <w:color w:val="auto"/>
          <w:sz w:val="36"/>
          <w:highlight w:val="none"/>
        </w:rPr>
      </w:pPr>
      <w:r>
        <w:rPr>
          <w:rFonts w:hint="eastAsia" w:ascii="宋体" w:hAnsi="宋体" w:cs="宋体"/>
          <w:color w:val="auto"/>
          <w:sz w:val="36"/>
          <w:highlight w:val="none"/>
        </w:rPr>
        <w:t xml:space="preserve">第四章 项目需求</w:t>
      </w:r>
      <w:r/>
    </w:p>
    <w:p>
      <w:pPr>
        <w:ind w:firstLine="422"/>
        <w:spacing w:line="360" w:lineRule="auto"/>
        <w:rPr>
          <w:rFonts w:ascii="宋体" w:hAnsi="宋体" w:cs="宋体"/>
          <w:b/>
          <w:bCs/>
          <w:color w:val="auto"/>
          <w:highlight w:val="none"/>
        </w:rPr>
      </w:pPr>
      <w:r/>
      <w:bookmarkStart w:id="55" w:name="_Toc319408306"/>
      <w:r>
        <w:rPr>
          <w:rFonts w:hint="eastAsia" w:ascii="宋体" w:hAnsi="宋体" w:cs="宋体"/>
          <w:b/>
          <w:bCs/>
          <w:color w:val="auto"/>
          <w:highlight w:val="none"/>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bookmarkEnd w:id="55"/>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项目属性：货物类项目</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核心产品：室外特征高清摄像机</w:t>
      </w:r>
      <w:r/>
    </w:p>
    <w:p>
      <w:pPr>
        <w:pStyle w:val="1043"/>
        <w:numPr>
          <w:ilvl w:val="1"/>
          <w:numId w:val="0"/>
        </w:numPr>
        <w:jc w:val="left"/>
        <w:spacing w:before="120" w:after="0"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（一）采购标的对应的中小企业划分标准所属行业一览表</w:t>
      </w:r>
      <w:r/>
    </w:p>
    <w:tbl>
      <w:tblPr>
        <w:tblStyle w:val="1045"/>
        <w:tblW w:w="85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4072"/>
        <w:gridCol w:w="3711"/>
      </w:tblGrid>
      <w:tr>
        <w:trPr>
          <w:cantSplit/>
          <w:jc w:val="center"/>
        </w:trPr>
        <w:tc>
          <w:tcPr>
            <w:tcW w:w="778"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4072"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采购标的</w:t>
            </w:r>
            <w:r/>
          </w:p>
        </w:tc>
        <w:tc>
          <w:tcPr>
            <w:tcW w:w="3711"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对应中小企业划分标准所属行业</w:t>
            </w:r>
            <w:r/>
          </w:p>
        </w:tc>
      </w:tr>
      <w:tr>
        <w:trPr>
          <w:cantSplit/>
          <w:jc w:val="center"/>
          <w:trHeight w:val="291"/>
        </w:trPr>
        <w:tc>
          <w:tcPr>
            <w:tcW w:w="7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407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2025年广陵区“雪亮工程”建设项目</w:t>
            </w:r>
            <w:r/>
          </w:p>
        </w:tc>
        <w:tc>
          <w:tcPr>
            <w:tcW w:w="371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工业</w:t>
            </w:r>
            <w:r/>
          </w:p>
        </w:tc>
      </w:tr>
    </w:tbl>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一、</w:t>
      </w:r>
      <w:r>
        <w:rPr>
          <w:rFonts w:hint="eastAsia" w:ascii="宋体" w:hAnsi="宋体" w:cs="宋体"/>
          <w:b/>
          <w:color w:val="auto"/>
          <w:szCs w:val="21"/>
          <w:highlight w:val="none"/>
        </w:rPr>
        <w:t xml:space="preserve">项目概况</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项目最高限价817.25万元（为更好的做好投标工作，投标人可先到项目地点充分了解地理位置、情况、道路、施工配合等任何其他足以影响投标报价的情况，根据勘察结果进行相应报价，否则自行承担因忽视或了解不充分而影响报价准确性的风险。）</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2、实施要求：</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（1）为考虑系统的兼容性，提供货物及服务实现与现有平台无缝对接，实现资源统一管理、应用整合共享。</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中标人须保障采购方在使用该设备或其任何一部分时不受到第三方关于侵犯专利权、商标权或工业设计权的指控。如果任何第三方提出侵权指控，供应商须与第三方交涉，并承担可能发生的一切费用。如采购方因此而遭致损失的，中标人应赔偿该损失。</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中标人应遵守现场的一切规章制度，自行负责施工现场的安全管理，安全、文明安装和调试，承担安装调试期间安装场所的安全以及设备和安装调试人员的安全责任。在合同有效期内，所涉及的安全责任事故由中标人负责，与采购人无关。</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（4）中标人负责保管、看护进场的设备及附配件，并提供适当的保护、包装或覆盖等处理，以免受损。</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（5）提供货物及伴随服务均符合招标文件要求及中标人投标文件承诺。</w:t>
      </w:r>
      <w:r/>
    </w:p>
    <w:p>
      <w:pPr>
        <w:pStyle w:val="1042"/>
        <w:numPr>
          <w:ilvl w:val="0"/>
          <w:numId w:val="0"/>
        </w:numPr>
        <w:ind w:firstLine="422"/>
        <w:jc w:val="both"/>
        <w:tabs>
          <w:tab w:val="left" w:pos="266"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二、</w:t>
      </w:r>
      <w:bookmarkStart w:id="56" w:name="_Toc49186316"/>
      <w:r/>
      <w:bookmarkStart w:id="57" w:name="_Toc20778664"/>
      <w:r/>
      <w:bookmarkStart w:id="58" w:name="_Toc49186360"/>
      <w:r>
        <w:rPr>
          <w:rFonts w:hint="eastAsia" w:ascii="宋体" w:hAnsi="宋体" w:cs="宋体"/>
          <w:bCs/>
          <w:color w:val="auto"/>
          <w:sz w:val="21"/>
          <w:szCs w:val="21"/>
          <w:highlight w:val="none"/>
        </w:rPr>
        <w:t xml:space="preserve">建设规范</w:t>
      </w:r>
      <w:bookmarkEnd w:id="56"/>
      <w:r/>
      <w:bookmarkEnd w:id="57"/>
      <w:r/>
      <w:bookmarkEnd w:id="58"/>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下列文件规范对于本招标文件的应用是必不可少的。凡是注明日期的引用文件，仅所注日期的版本适用于本招标文件。凡是不注明日期的引用文件，其最新版本（包括所有的修改单）适用于本招标文件。</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《公共安全视频监控联网系统信息传输、交换、控制技术要求》（GB/T 28181-2016）</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《公安视频图像信息应用系统》（GA/T 1400-2017）</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《公安视频图像分析系统》（GA/T 1399-2017）</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《信息技术设备 安全 第1部分：通用要求》（GB 4943.1-2011）</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《安全防范工程技术规范》（GB 50348-2004）</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《出入口控制系统工程设计规范》（GB 50396-2007）</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《安全防范视频监控摄像机通用技术要求》（GA/T 1127-2013）</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《安防人脸识别应用 视频人脸图像提取技术要求》（GA/T 1334-2016）</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《城市监控联网系统 管理标准 第一部分 图像信息采集、接入、使用管理要求》（GB/T 792.1-2008）</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《信息安全技术 信息系统通用安全技术要求》（GB/T 20271-2006）</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《信息技术 生物特征识别数据交换格式第五部分：人脸图像数据》（GB/T 26237.5-2014）</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《安防生物特征识别应用术语》（GA/T 893-2010）</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《安全防范监控数字视音频编解码技术要求》（GB/T 25724-2010）</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《安防人脸识别应用系统 第2部分:人脸图像数据》（GA/T 922.2－2011）</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《安全防范视频监控摄像机通用技术要求》（GA/T 1127-2013）</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《犯罪嫌疑人员数字像片技术要求及采集规范》（GA/T 706-2007）</w:t>
      </w:r>
      <w:r/>
    </w:p>
    <w:p>
      <w:pPr>
        <w:ind w:firstLine="420"/>
        <w:spacing w:line="360" w:lineRule="auto"/>
        <w:rPr>
          <w:rFonts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《扬州市公安人脸识别系统联网建设技术规范》（试行）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三、采购清单</w:t>
      </w:r>
      <w:r/>
    </w:p>
    <w:tbl>
      <w:tblPr>
        <w:tblStyle w:val="1045"/>
        <w:tblW w:w="8379" w:type="dxa"/>
        <w:jc w:val="center"/>
        <w:tblLayout w:type="autofit"/>
        <w:tblCellMar>
          <w:left w:w="108" w:type="dxa"/>
          <w:top w:w="0" w:type="dxa"/>
          <w:right w:w="108" w:type="dxa"/>
          <w:bottom w:w="0" w:type="dxa"/>
        </w:tblCellMar>
        <w:tblLook w:val="04A0" w:firstRow="1" w:lastRow="0" w:firstColumn="1" w:lastColumn="0" w:noHBand="0" w:noVBand="1"/>
      </w:tblPr>
      <w:tblGrid>
        <w:gridCol w:w="819"/>
        <w:gridCol w:w="1723"/>
        <w:gridCol w:w="4207"/>
        <w:gridCol w:w="816"/>
        <w:gridCol w:w="814"/>
      </w:tblGrid>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23"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4207"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技术参数</w:t>
            </w:r>
            <w:r/>
          </w:p>
        </w:tc>
        <w:tc>
          <w:tcPr>
            <w:shd w:val="clear" w:color="auto" w:fill="auto"/>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814"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单位</w:t>
            </w:r>
            <w:r/>
          </w:p>
        </w:tc>
      </w:tr>
      <w:tr>
        <w:trPr>
          <w:jc w:val="center"/>
          <w:trHeight w:val="600"/>
        </w:trPr>
        <w:tc>
          <w:tcPr>
            <w:gridSpan w:val="5"/>
            <w:shd w:val="clear" w:color="auto" w:fill="auto"/>
            <w:tcBorders>
              <w:top w:val="single" w:color="auto" w:sz="4" w:space="0"/>
              <w:left w:val="single" w:color="auto" w:sz="4" w:space="0"/>
              <w:bottom w:val="single" w:color="auto" w:sz="4" w:space="0"/>
              <w:right w:val="single" w:color="auto" w:sz="4" w:space="0"/>
            </w:tcBorders>
            <w:tcW w:w="8379" w:type="dxa"/>
            <w:vAlign w:val="center"/>
            <w:textDirection w:val="lrTb"/>
            <w:noWrap w:val="false"/>
          </w:tcPr>
          <w:p>
            <w:pPr>
              <w:jc w:val="left"/>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（一）前端数据采集系统</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三摄高清特征摄像机</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详见技术参数要求</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Height w:val="478"/>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室外特征高清摄像机</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详见技术参数要求</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262</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高清视频监控枪型摄像机</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详见技术参数要求</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414</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高清视频监控球型摄像机</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详见技术参数要求</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结构化球型摄像机</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详见技术参数要求</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高空瞭望球型摄像机</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详见技术参数要求</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900万环保车辆卡口抓拍摄像机</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详见技术参数要求</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四合一环保补光灯</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详见技术参数要求</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r>
      <w:tr>
        <w:trPr>
          <w:jc w:val="center"/>
          <w:trHeight w:val="600"/>
        </w:trPr>
        <w:tc>
          <w:tcPr>
            <w:gridSpan w:val="5"/>
            <w:shd w:val="clear" w:color="auto" w:fill="auto"/>
            <w:tcBorders>
              <w:top w:val="single" w:color="auto" w:sz="4" w:space="0"/>
              <w:left w:val="single" w:color="auto" w:sz="4" w:space="0"/>
              <w:bottom w:val="single" w:color="auto" w:sz="4" w:space="0"/>
              <w:right w:val="single" w:color="auto" w:sz="4" w:space="0"/>
            </w:tcBorders>
            <w:tcW w:w="8379" w:type="dxa"/>
            <w:vAlign w:val="center"/>
            <w:textDirection w:val="lrTb"/>
            <w:noWrap w:val="false"/>
          </w:tcPr>
          <w:p>
            <w:pPr>
              <w:jc w:val="left"/>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（二）辅助配套系统</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设备供电电源线</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RVV3*1.0mm²</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3665</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m</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设备控制线</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RVV2*1.0mm²</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m</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室外超五类网线</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室外超五类网线</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3665</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m</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设备取电电源线</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RVV3*2.5mm²</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10362</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m</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设备壁装支架</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与设备相匹配</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根</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设备吊装装支架（可伸缩）</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设备吊装装支架（可伸缩），与设备匹配</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根</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借杆横臂（0.5m-3.5m）</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进行定制横臂，同时颜色式样要与借杆主干风格保持一致保证整体协调；根据现有杆件定制横臂，直径60mm圆管，壁厚2mm，热镀锌喷塑。</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144</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根</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高空全景杆件建筑顶部定制组合固定套件</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高空全景杆件建筑顶部定制组合固定套件，与设备匹配</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10米视频监控杆件</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立杆:八角直径190-350-6mm厚-10米高，横杆：八角直径90-140-4mm厚-2米，基础法兰直径600-16mm厚，横臂法兰方型300*300-14mm厚，所有加强筋12mm厚。避雷针1.5m，杆件热镀锌后喷塑处理。固定法兰直径500-4mm厚，预埋件螺栓对角中心距400mm-8支M24圆钢长1.285米。基础规格：1.8m*1.8m*2m</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根</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6.5米视频监控杆件</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立杆：圆锥直径140-190-4mm厚-6.5米高；横杆：圆柱直径60-3mm厚1-3米长；基础法兰直径400-14mm厚，固定法兰直径400-4mm厚，预埋件螺栓对角中心距300mm-6支M20圆钢长0.75米。地笼一道十字撑加一道箍筋。基础规格：0.8m*0.8m*1m</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根</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3.5米视频监控杆件</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立杆：圆柱直径114-4mm厚-3.5米高；横杆：圆柱直径60-3mm厚-1米长；基础法兰300*300-10mm厚，固定法兰直径300*300-4mm厚，预埋件螺栓对角中心距300mm-4支M16圆钢长0.75米。地笼一道十字撑加一道箍筋。基础规格：0.6m*0.6m*0.8m</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根</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监控杆件利旧施工</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杆件的二次搬运及吊装调平施工，及配套预埋件（地笼）的制作施工，基础施工</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根</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接地极</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材质：50*50*5镀锌角钢</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土质：普通土</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516</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根(块)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接地母线</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材质：镀锌扁钢-40*4</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607.6</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m</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接地线</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BV-16mm2</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444</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m</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设备挂箱</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规格尺寸:镀锌板喷塑，40*50*25cm，厚1.2mm，规格按照现有机柜保持一致。箱体上注明“广陵公安”及“施工单位名称、联系电话”等字体。安装高度:2.5米-3米。配置要求:包括箱体、电源防雷器、五眼插座2个、接地铜排及端子排各1套、16A2匹空开1套、配线盒，维护开关，温控风扇，门磁。</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310</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个</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5口交换机</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百兆，详见技术参数要求</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280</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台(套)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前端工业级交换机</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至少具备1个千兆光口及4个百兆/千兆自适应电口，光口单纤双向，传输距离20KM；内置浪涌和静电保护，三级防雷设计；高温温度 （85士2℃）和低温温度 （-40士3℃）持续时间不低于 2h能正常工作</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台(套)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PE管</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规格：DN32</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配置形式：埋地，含挖填土</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7711</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m</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道板砖开挖及恢复</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厚度：上层10cm人行道板砖拆除及恢复，中层20cm无筋混凝土拆除及使用C25商品混凝土恢复</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447</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m2</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破路及恢复</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20cm无筋混凝土拆除及使用C25商品混凝土恢复</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710</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m2</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KBG管</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规格：DN25</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配置形式：明配</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2210</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m</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手孔井</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1、内空280*280*600</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2、垫层、基础材质及厚度：碎石垫层，C30基础</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3、砌筑材料品种、规格、强度等级：120厚MU15混凝土实心砖</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4、勾缝、抹面要求：1:2水泥砂浆内粉</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5、砂浆强度等级、配合比：M7.5水泥砂浆砌筑</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6、盖板材质、规格：采用复合材料井盖，尺寸为400*400mm。</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224</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座</w:t>
            </w:r>
            <w:r/>
          </w:p>
        </w:tc>
      </w:tr>
      <w:tr>
        <w:trPr>
          <w:jc w:val="center"/>
          <w:trHeight w:val="600"/>
        </w:trPr>
        <w:tc>
          <w:tcPr>
            <w:gridSpan w:val="5"/>
            <w:shd w:val="clear" w:color="auto" w:fill="auto"/>
            <w:tcBorders>
              <w:top w:val="single" w:color="auto" w:sz="4" w:space="0"/>
              <w:left w:val="single" w:color="auto" w:sz="4" w:space="0"/>
              <w:bottom w:val="single" w:color="auto" w:sz="4" w:space="0"/>
              <w:right w:val="single" w:color="auto" w:sz="4" w:space="0"/>
            </w:tcBorders>
            <w:tcW w:w="8379"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（三）中心软硬件扩容</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管理通道授权/路</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详见技术参数要求</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云存储容量授权（1TB）</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详见技术参数要求</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4088</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企业硬盘</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详见技术参数要求</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511</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人脸算法授权</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详见技术参数要求</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310</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路</w:t>
            </w:r>
            <w:r/>
          </w:p>
        </w:tc>
      </w:tr>
      <w:tr>
        <w:trPr>
          <w:jc w:val="center"/>
          <w:trHeight w:val="600"/>
        </w:trPr>
        <w:tc>
          <w:tcPr>
            <w:gridSpan w:val="5"/>
            <w:shd w:val="clear" w:color="auto" w:fill="auto"/>
            <w:tcBorders>
              <w:top w:val="single" w:color="auto" w:sz="4" w:space="0"/>
              <w:left w:val="single" w:color="auto" w:sz="4" w:space="0"/>
              <w:bottom w:val="single" w:color="auto" w:sz="4" w:space="0"/>
              <w:right w:val="single" w:color="auto" w:sz="4" w:space="0"/>
            </w:tcBorders>
            <w:tcW w:w="8379"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（四）网络传输系统</w:t>
            </w:r>
            <w:r/>
          </w:p>
        </w:tc>
      </w:tr>
      <w:tr>
        <w:trPr>
          <w:jc w:val="center"/>
          <w:trHeight w:val="416"/>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联网维护费</w:t>
            </w:r>
            <w:r/>
          </w:p>
        </w:tc>
        <w:tc>
          <w:tcPr>
            <w:shd w:val="clear" w:color="auto" w:fill="auto"/>
            <w:tcBorders>
              <w:top w:val="none" w:color="000000" w:sz="4" w:space="0"/>
              <w:left w:val="none" w:color="000000" w:sz="4" w:space="0"/>
              <w:bottom w:val="single" w:color="auto" w:sz="4" w:space="0"/>
              <w:right w:val="single" w:color="auto" w:sz="4" w:space="0"/>
            </w:tcBorders>
            <w:tcW w:w="4207" w:type="dxa"/>
            <w:vAlign w:val="center"/>
            <w:textDirection w:val="lrTb"/>
            <w:noWrap w:val="false"/>
          </w:tcPr>
          <w:p>
            <w:pPr>
              <w:jc w:val="left"/>
              <w:widowControl/>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5年。</w:t>
            </w:r>
            <w:r/>
          </w:p>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为本项目前端监控点位及后台设备提供接入、维修维护服务，相关设备需按要求统一接入视频专网；对招标人报修的设备离线、树木遮挡、角度不正、视频画面异常、杆件故障等各类问题，按照售后服务承诺要求，及时安排人员到场进行维修维护；除原有监控摄像机及后端设备硬件故障外，其余设备设施维修维护所产生的费用均有中标供应商承担。维护时必须配有不少于5人的专业维修队伍，配备专车，每月不低于1次至监控中心进行日常检查、维护，发现并解决故障问题。</w:t>
            </w:r>
            <w:r/>
          </w:p>
        </w:tc>
        <w:tc>
          <w:tcPr>
            <w:shd w:val="clear" w:color="auto" w:fill="auto"/>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310</w:t>
            </w:r>
            <w:r/>
          </w:p>
        </w:tc>
        <w:tc>
          <w:tcPr>
            <w:shd w:val="clear" w:color="auto" w:fill="auto"/>
            <w:tcBorders>
              <w:top w:val="none" w:color="000000" w:sz="4" w:space="0"/>
              <w:left w:val="none" w:color="000000" w:sz="4" w:space="0"/>
              <w:bottom w:val="single" w:color="auto" w:sz="4" w:space="0"/>
              <w:right w:val="single" w:color="auto" w:sz="4" w:space="0"/>
            </w:tcBorders>
            <w:tcW w:w="814"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处</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合计</w:t>
            </w:r>
            <w:r/>
          </w:p>
        </w:tc>
        <w:tc>
          <w:tcPr>
            <w:gridSpan w:val="4"/>
            <w:shd w:val="clear" w:color="auto" w:fill="auto"/>
            <w:tcBorders>
              <w:top w:val="single" w:color="auto" w:sz="4" w:space="0"/>
              <w:left w:val="none" w:color="000000" w:sz="4" w:space="0"/>
              <w:bottom w:val="single" w:color="auto" w:sz="4" w:space="0"/>
              <w:right w:val="single" w:color="auto" w:sz="4" w:space="0"/>
            </w:tcBorders>
            <w:tcW w:w="7560" w:type="dxa"/>
            <w:vAlign w:val="center"/>
            <w:textDirection w:val="lrTb"/>
            <w:noWrap w:val="false"/>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r>
    </w:tbl>
    <w:p>
      <w:pPr>
        <w:ind w:firstLine="420"/>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本项目核心产品为：室外特征高清摄像机</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四、技术参数要求</w:t>
      </w:r>
      <w:r/>
    </w:p>
    <w:p>
      <w:pPr>
        <w:ind w:firstLine="422"/>
        <w:spacing w:line="360" w:lineRule="auto"/>
        <w:rPr>
          <w:rFonts w:ascii="宋体" w:hAnsi="宋体" w:cs="宋体"/>
          <w:b/>
          <w:color w:val="auto"/>
          <w:szCs w:val="21"/>
          <w:highlight w:val="none"/>
        </w:rPr>
      </w:pPr>
      <w:r/>
      <w:bookmarkStart w:id="59" w:name="_Toc78216267"/>
      <w:r>
        <w:rPr>
          <w:rFonts w:hint="eastAsia" w:ascii="宋体" w:hAnsi="宋体" w:cs="宋体"/>
          <w:b/>
          <w:bCs/>
          <w:color w:val="auto"/>
          <w:szCs w:val="21"/>
          <w:highlight w:val="none"/>
        </w:rPr>
        <w:t xml:space="preserve">以下技术参数内容为参考标准，投标人应根据自身产品实际情况提供满足使用需求、性能等于或高于以下技术参数标准的产品。如在各技术参数中仅为某一品牌或型号所特有的，仅起说明作用，并没有任何限制性，</w:t>
      </w:r>
      <w:r>
        <w:rPr>
          <w:rFonts w:hint="eastAsia" w:ascii="宋体" w:hAnsi="宋体" w:cs="宋体"/>
          <w:b/>
          <w:color w:val="auto"/>
          <w:szCs w:val="21"/>
          <w:highlight w:val="none"/>
        </w:rPr>
        <w:t xml:space="preserve">投标人可以选用符合的标准(名称)替代。</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（一）三摄高清特征摄像机 </w:t>
      </w:r>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内置不少于2个全景通道和1个细节通道，全景通道1、通道2分辨率不小于3680*1656，600万像素；细节通道3分辨率不小于2688*1520，400万像素。</w:t>
      </w:r>
      <w:r/>
    </w:p>
    <w:p>
      <w:pPr>
        <w:numPr>
          <w:ilvl w:val="0"/>
          <w:numId w:val="4"/>
        </w:num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全景镜头采用F1.0光圈定焦镜头，细节镜头采用25倍光学变焦镜头，全景镜头支持拼接和非拼接模式</w:t>
      </w:r>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靶面尺寸：全景不小于1/1.8＂CMOS,细节不小于1/2.8＂CMOS；</w:t>
      </w:r>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最低照度：【全景】彩色 0.0005Lux @ (F1.0，AGC ON)，黑白0.0002Lux @(F1.0，AGC ON)， 0Lux with IR；【细节】彩色 0.005Lux @ (F1.6，AGC ON)，黑白0.001Lux @(F1.6，AGC ON)， 0Lux with IR</w:t>
      </w:r>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全景内置微云台功能：支持远程电动调节，水平最大调节范围0°~190°，垂直最大调节范围12.5°~22.5°</w:t>
      </w:r>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支持人脸，非机动车识别、机动车车牌识别等全结构化功能</w:t>
      </w:r>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全景通道和细节通道均支持全结构化模式、smart事件模式，通道支持智能功能可任意选择并保存生效。</w:t>
      </w:r>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支持智能资源模式切换：通道1（细节）1、支持全结构化；2、Smart事件；3、违章取证+车辆检测；4、交通事件检测+交通数据采集共4个模式。通道2（全景 ）1、支持全结构化；2、Smart事件；3、违章取证+车辆检测；4、交通事件检测+交通数据采集共4个模式。通道3（全景）1、支持全结构化；2、Smart事件；3、违章取证+车辆检测；4、交通事件检测+交通数据采集共4个模式。每个通道智能可任意组合</w:t>
      </w:r>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视频压缩标准：H.265,H.264,MJPEG</w:t>
      </w:r>
      <w:r>
        <w:rPr>
          <w:rFonts w:hint="eastAsia" w:ascii="宋体" w:hAnsi="宋体" w:cs="宋体"/>
          <w:color w:val="auto"/>
          <w:szCs w:val="21"/>
          <w:highlight w:val="none"/>
        </w:rPr>
        <w:br/>
      </w:r>
      <w:r>
        <w:rPr>
          <w:rFonts w:hint="eastAsia" w:ascii="宋体" w:hAnsi="宋体" w:cs="宋体"/>
          <w:color w:val="auto"/>
          <w:szCs w:val="21"/>
          <w:highlight w:val="none"/>
        </w:rPr>
        <w:t xml:space="preserve">宽动态：120dB超宽动态</w:t>
      </w:r>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SD卡扩展：支持内置MicroSD卡槽，最大512GB；</w:t>
      </w:r>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防护等级： IP67；6000 V防雷、防浪涌、防突波，符合GB/T17626.2/3/4/5/6四级标准</w:t>
      </w:r>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支持GB35114 A级安全加密；</w:t>
      </w:r>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★全景支持拼接模式和非拼接模式，在拼接模式下，全景通道支持分辨率不小于3680 × 1656；在不拼接模式下，可输出2个全景通道，支持分辨率不小于1920 × 1632。全景通道支持输出一个拼接视频图像或2个非拼接视频图像，在拼接模式下，设备可输出全景和细节2个视频图像，在非拼接模式下，设备可输出全景1、全景2和细节3路视频图像。</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★全景通道支持一键拼接，可在拼接模式和非拼接模式下进行切换，在拼接模式下，全景通道1和全景通道2拼接输出1路视频图像；在非拼接模式下，全景通道1和全景通道2分别独立输出2路视频图像。</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★全景通道1、2：支持水平:0°-190°，垂直-5°-30°，细节通道:水平:0°-360°，垂直:-10°-90°。</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★三通道均支持全结构化模式、smart事件模式，违章取证+车辆检测模式、交通事件检测+交通数据采集模式，三通道的智能功能可任意选择并保存生效。</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全景通道的2个镜头玻璃均采用倾斜安装，可改变射向镜头光束反射光的方向，在天气晴朗无雾、辅助照明光照度低的条件下，全景通道的2个镜头前方出现机动车补光、非机动车补光、手机补光或手电筒补光时，视频画面基本保持清晰。</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5"/>
        </w:num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室外特征高清摄像机</w:t>
      </w:r>
      <w:r/>
    </w:p>
    <w:p>
      <w:pPr>
        <w:numPr>
          <w:ilvl w:val="0"/>
          <w:numId w:val="6"/>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全景通道：采用不低于400万像素1/2.8英寸CMOS图像传感器；细节通道：采用不低于800万像素1/1.8英寸CMOS图像传感器；</w:t>
      </w:r>
      <w:r/>
    </w:p>
    <w:p>
      <w:pPr>
        <w:numPr>
          <w:ilvl w:val="0"/>
          <w:numId w:val="6"/>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最大分辨率：3840×2160；</w:t>
      </w:r>
      <w:r/>
    </w:p>
    <w:p>
      <w:pPr>
        <w:numPr>
          <w:ilvl w:val="0"/>
          <w:numId w:val="6"/>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内置不少于2颗CMOS图像传感器，1颗图形处理芯片（包括不限于：CPU、GPU、NPU、一体化芯片）；</w:t>
      </w:r>
      <w:r/>
    </w:p>
    <w:p>
      <w:pPr>
        <w:numPr>
          <w:ilvl w:val="0"/>
          <w:numId w:val="6"/>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全景通道：不大于4mm；细节通道：短焦不大于10mm，长焦不小于32mm</w:t>
      </w:r>
      <w:r>
        <w:rPr>
          <w:rFonts w:hint="eastAsia" w:ascii="宋体" w:hAnsi="宋体" w:cs="宋体"/>
          <w:color w:val="auto"/>
          <w:szCs w:val="21"/>
          <w:highlight w:val="none"/>
        </w:rPr>
        <w:tab/>
      </w:r>
      <w:r>
        <w:rPr>
          <w:rFonts w:hint="eastAsia" w:ascii="宋体" w:hAnsi="宋体" w:cs="宋体"/>
          <w:color w:val="auto"/>
          <w:szCs w:val="21"/>
          <w:highlight w:val="none"/>
        </w:rPr>
        <w:t xml:space="preserve">；</w:t>
      </w:r>
      <w:r/>
    </w:p>
    <w:p>
      <w:pPr>
        <w:numPr>
          <w:ilvl w:val="0"/>
          <w:numId w:val="6"/>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内置不低于6颗高效补光灯；</w:t>
      </w:r>
      <w:r/>
    </w:p>
    <w:p>
      <w:pPr>
        <w:numPr>
          <w:ilvl w:val="0"/>
          <w:numId w:val="6"/>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设备具有电动控制PT功能，支持远程电动调节；</w:t>
      </w:r>
      <w:r/>
    </w:p>
    <w:p>
      <w:pPr>
        <w:numPr>
          <w:ilvl w:val="0"/>
          <w:numId w:val="6"/>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全景通道支持智能分析模式：包括不限于：视频结构化，人数统计，通用行为分析等；细节通道支持视频结构化，人脸抓拍，人脸识别，通用行为分析，道路监控，人数统计；</w:t>
      </w:r>
      <w:r/>
    </w:p>
    <w:p>
      <w:pPr>
        <w:numPr>
          <w:ilvl w:val="0"/>
          <w:numId w:val="6"/>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设备支持SD卡扩展：不小于512GMicroSD卡，内置扬声器及双麦克风；</w:t>
      </w:r>
      <w:r/>
    </w:p>
    <w:p>
      <w:pPr>
        <w:numPr>
          <w:ilvl w:val="0"/>
          <w:numId w:val="6"/>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接入标准：支持GB/T28181、GA/T1400、GB35114-A级及以上标准</w:t>
      </w:r>
      <w:r/>
    </w:p>
    <w:p>
      <w:pPr>
        <w:numPr>
          <w:ilvl w:val="0"/>
          <w:numId w:val="6"/>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防护等级不低于IP67；</w:t>
      </w:r>
      <w:r/>
    </w:p>
    <w:p>
      <w:pPr>
        <w:numPr>
          <w:ilvl w:val="0"/>
          <w:numId w:val="6"/>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★聚焦目标可设置为混合模式或者人脸模式,当画面中无参考人体目标进行自动聚焦时,选择混合聚焦,应保证画面整体清晰；切换为人脸模式聚焦时,应根据画面场景自动调整聚焦策略,应优先保证抓拍人脸清晰度</w:t>
      </w:r>
      <w:r>
        <w:rPr>
          <w:rFonts w:hint="eastAsia" w:ascii="宋体" w:hAnsi="宋体" w:cs="宋体"/>
          <w:b/>
          <w:bCs/>
          <w:color w:val="auto"/>
          <w:szCs w:val="21"/>
          <w:highlight w:val="none"/>
        </w:rPr>
        <w:t xml:space="preserve">（提供公安部或第三方机构出具的相关检测报告，原件扫描上传，中标后采购人核查原件）</w:t>
      </w:r>
      <w:r>
        <w:rPr>
          <w:rFonts w:hint="eastAsia" w:ascii="宋体" w:hAnsi="宋体" w:cs="宋体"/>
          <w:color w:val="auto"/>
          <w:szCs w:val="21"/>
          <w:highlight w:val="none"/>
        </w:rPr>
        <w:t xml:space="preserve">。</w:t>
      </w:r>
      <w:r/>
    </w:p>
    <w:p>
      <w:pPr>
        <w:numPr>
          <w:ilvl w:val="0"/>
          <w:numId w:val="6"/>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★大模型环境自适应设置检验:设备应支持场景大模型算法研判,当场景自定义选择环境自适应选项时,可根据环境亮度变化自动进行白天/夜晚的配置切换,白天/夜晚的图像配置包含宽动态、曝光、增益等参数</w:t>
      </w:r>
      <w:r>
        <w:rPr>
          <w:rFonts w:hint="eastAsia" w:ascii="宋体" w:hAnsi="宋体" w:cs="宋体"/>
          <w:b/>
          <w:bCs/>
          <w:color w:val="auto"/>
          <w:szCs w:val="21"/>
          <w:highlight w:val="none"/>
        </w:rPr>
        <w:t xml:space="preserve">（提供公安部或第三方机构出具的相关检测报告，原件扫描上传，中标后采购人核查原件）</w:t>
      </w:r>
      <w:r>
        <w:rPr>
          <w:rFonts w:hint="eastAsia" w:ascii="宋体" w:hAnsi="宋体" w:cs="宋体"/>
          <w:color w:val="auto"/>
          <w:szCs w:val="21"/>
          <w:highlight w:val="none"/>
        </w:rPr>
        <w:t xml:space="preserve">。</w:t>
      </w:r>
      <w:r/>
    </w:p>
    <w:p>
      <w:pPr>
        <w:numPr>
          <w:ilvl w:val="0"/>
          <w:numId w:val="6"/>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可通过IE浏览器自定义旋转角度,可一键调节云台至设置的角度。</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（三）高清视频监控枪型摄像机</w:t>
      </w:r>
      <w:r/>
    </w:p>
    <w:p>
      <w:pPr>
        <w:numPr>
          <w:ilvl w:val="0"/>
          <w:numId w:val="7"/>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传感器类型：1/2.7" Progressive Scan CMOS；</w:t>
      </w:r>
      <w:r/>
    </w:p>
    <w:p>
      <w:pPr>
        <w:numPr>
          <w:ilvl w:val="0"/>
          <w:numId w:val="7"/>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最高分辨率可达400万像素，并在此分辨率下可输出30 fps实时图像，图像更流畅，支持透雾</w:t>
      </w:r>
      <w:r/>
    </w:p>
    <w:p>
      <w:pPr>
        <w:numPr>
          <w:ilvl w:val="0"/>
          <w:numId w:val="7"/>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最大分辨率：2560 × 1440；</w:t>
      </w:r>
      <w:r/>
    </w:p>
    <w:p>
      <w:pPr>
        <w:numPr>
          <w:ilvl w:val="0"/>
          <w:numId w:val="7"/>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最低照度：彩色：0.005 Lux @（F1.2，AGC ON）</w:t>
      </w:r>
      <w:r/>
    </w:p>
    <w:p>
      <w:pPr>
        <w:numPr>
          <w:ilvl w:val="0"/>
          <w:numId w:val="7"/>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黑白：0.001 Lux @（F1.2，AGC ON），0 Lux with IR</w:t>
      </w:r>
      <w:r/>
    </w:p>
    <w:p>
      <w:pPr>
        <w:numPr>
          <w:ilvl w:val="0"/>
          <w:numId w:val="7"/>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宽动态：120 dB；</w:t>
      </w:r>
      <w:r/>
    </w:p>
    <w:p>
      <w:pPr>
        <w:numPr>
          <w:ilvl w:val="0"/>
          <w:numId w:val="7"/>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最大补光距离：30m；</w:t>
      </w:r>
      <w:r/>
    </w:p>
    <w:p>
      <w:pPr>
        <w:numPr>
          <w:ilvl w:val="0"/>
          <w:numId w:val="7"/>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补光灯类型：默认红外补光，可切换暖白光；</w:t>
      </w:r>
      <w:r/>
    </w:p>
    <w:p>
      <w:pPr>
        <w:numPr>
          <w:ilvl w:val="0"/>
          <w:numId w:val="7"/>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视频压缩标准：H.265/H.264/MJPEG </w:t>
      </w:r>
      <w:r/>
    </w:p>
    <w:p>
      <w:pPr>
        <w:numPr>
          <w:ilvl w:val="0"/>
          <w:numId w:val="7"/>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音频：1路输入（Line in），1路输出（Line out）</w:t>
      </w:r>
      <w:r/>
    </w:p>
    <w:p>
      <w:pPr>
        <w:numPr>
          <w:ilvl w:val="0"/>
          <w:numId w:val="7"/>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报警：1路输入，1路输出（报警输入支持开关量，报警输出最大支持DC12 V，30 mA）；</w:t>
      </w:r>
      <w:r/>
    </w:p>
    <w:p>
      <w:pPr>
        <w:numPr>
          <w:ilvl w:val="0"/>
          <w:numId w:val="7"/>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防护等级：IP67</w:t>
      </w:r>
      <w:r/>
    </w:p>
    <w:p>
      <w:pPr>
        <w:numPr>
          <w:ilvl w:val="0"/>
          <w:numId w:val="7"/>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支持GB35114 A级安全加密；</w:t>
      </w:r>
      <w:r/>
    </w:p>
    <w:p>
      <w:pPr>
        <w:numPr>
          <w:ilvl w:val="0"/>
          <w:numId w:val="7"/>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内置1颗GPU</w:t>
      </w:r>
      <w:r/>
    </w:p>
    <w:p>
      <w:pPr>
        <w:numPr>
          <w:ilvl w:val="0"/>
          <w:numId w:val="7"/>
        </w:numPr>
        <w:ind w:left="425" w:hanging="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★摄像机采用鳞镜式补光灯，补光灯开启后，正面不可见补光灯灯珠，补光亮度均匀，无明显波纹状、圆环状、麻点状、条纹状及不规则亮斑。</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7"/>
        </w:numPr>
        <w:ind w:left="425" w:hanging="425"/>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★具有低温低气压适应性，可在不高于-30℃和气压70kPa环境下正常工作。</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（四）高清视频监控球型摄像机</w:t>
      </w:r>
      <w:r/>
    </w:p>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传感器类型：1/1.8英寸CMOS，双sensor架构；</w:t>
      </w:r>
      <w:r/>
    </w:p>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像素：400万；</w:t>
      </w:r>
      <w:r/>
    </w:p>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支持最大2688x1520@30fps高清画面输出；支持35倍光学变倍，16倍数字变倍</w:t>
      </w:r>
      <w:r/>
    </w:p>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最低照度：彩色：0.0004 Lux @（F1.6，AGC ON），黑白：0.0001 Lux @（F1.6，AGC ON），0 Lux with IR；</w:t>
      </w:r>
      <w:r/>
    </w:p>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补光灯距离：250 m；</w:t>
      </w:r>
      <w:r/>
    </w:p>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防补光过曝：支持</w:t>
      </w:r>
      <w:r/>
    </w:p>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水平范围：360°</w:t>
      </w:r>
      <w:r/>
    </w:p>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垂直范围：-20°~90°（自动翻转）</w:t>
      </w:r>
      <w:r/>
    </w:p>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水平速度：水平键控速度：0.1°~210°/s，速度可设；水平预置点速度：280°/s</w:t>
      </w:r>
      <w:r>
        <w:rPr>
          <w:rFonts w:hint="eastAsia" w:ascii="宋体" w:hAnsi="宋体" w:cs="宋体"/>
          <w:color w:val="auto"/>
          <w:szCs w:val="21"/>
          <w:highlight w:val="none"/>
        </w:rPr>
        <w:br/>
      </w:r>
      <w:r>
        <w:rPr>
          <w:rFonts w:hint="eastAsia" w:ascii="宋体" w:hAnsi="宋体" w:cs="宋体"/>
          <w:color w:val="auto"/>
          <w:szCs w:val="21"/>
          <w:highlight w:val="none"/>
        </w:rPr>
        <w:t xml:space="preserve">垂直速度：垂直键控速度：0.1°~150°/s，速度可设；垂直预置点速度：250°/s；</w:t>
      </w:r>
      <w:r/>
    </w:p>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雨刷功能：雨刷；</w:t>
      </w:r>
      <w:r/>
    </w:p>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焦距： 5.9~206.5 mm</w:t>
      </w:r>
      <w:r/>
    </w:p>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视场角：58.9°~2.2°（广角~望远）光学变倍：40倍；</w:t>
      </w:r>
      <w:r/>
    </w:p>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卫星定位：内置北斗卫星定位模块和电子罗盘，支持将视场角、镜头指向、安装位置经纬度等信息上传中心管理平台；</w:t>
      </w:r>
      <w:r/>
    </w:p>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网络接口：RJ45网口，自适应10 M/100 M网络数据</w:t>
      </w:r>
      <w:r>
        <w:rPr>
          <w:rFonts w:hint="eastAsia" w:ascii="宋体" w:hAnsi="宋体" w:cs="宋体"/>
          <w:color w:val="auto"/>
          <w:szCs w:val="21"/>
          <w:highlight w:val="none"/>
        </w:rPr>
        <w:br/>
      </w:r>
      <w:r>
        <w:rPr>
          <w:rFonts w:hint="eastAsia" w:ascii="宋体" w:hAnsi="宋体" w:cs="宋体"/>
          <w:color w:val="auto"/>
          <w:szCs w:val="21"/>
          <w:highlight w:val="none"/>
        </w:rPr>
        <w:t xml:space="preserve">光纤接口：采用FC接口，内置光纤模块（100M网络数据、波长TX1310/RX1550nm、单纤单模、20km传输距离）</w:t>
      </w:r>
      <w:r/>
    </w:p>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支持GB35114A级安全加密</w:t>
      </w:r>
      <w:r/>
    </w:p>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设备smart事件上报的抓图支持叠加规则区域和目标框：可配置报警抓图叠加目标信息及规则信息，支持开启及关闭。支持设置预览画面是否叠加显示规则区域框及告警提示信息</w:t>
      </w:r>
      <w:r/>
    </w:p>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★设备支持可从诊断信息中导出云台控制历史记录，包括：手动键控PTZ、3D定位、手动调用预置点、手动调用花扫、手动调用巡航</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★设备在近光灯、中光灯开启后，在变焦过程中红外光斑形状为矩形，长宽比为16:9；</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8"/>
        </w:numPr>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★设备红外光利用率不小于80%，在IE浏览器下，可通过手机扫描预览界面上的二维码获取设备资料</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（五）结构化球型摄像机</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传感器类型：全景：1/1.8英寸CMOS；细节：1/1.8英寸CMOS；</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像素：全景：400万；细节：400万；</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最大分辨率：全景2688×1520细节2688×1520；</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最低照度：全景：彩色：0.001Lux@F1.6黑白：0.0001Lux@F1.6细节：彩色：0.001Lux@F1.6黑白：0.0001Lux@F1.60Lux（红外灯开启）；</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最大补光距离：全景：白光：20m（人脸），30m（结构化）；细节：100m（红外）；</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补光类型：全景：白光；细节：红外；</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镜头焦距：全景：8mm～32mm；细节：5.4mm～135mm；</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镜头光圈：全景F1.6细节F1.6-F4.0；</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★支持全景相机：水平范围：0°～360°连续旋转、垂直范围： 0°～30°；细节相机：水平范围：0°～305°，垂直范围： -10°～90</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光学变倍：全景：4倍；细节：25倍；</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★支持在一个全景画面下，标定成功后，其他场景下都有效；</w:t>
      </w:r>
      <w:r>
        <w:rPr>
          <w:rFonts w:hint="eastAsia" w:ascii="宋体" w:hAnsi="宋体" w:cs="宋体"/>
          <w:b/>
          <w:color w:val="auto"/>
          <w:szCs w:val="21"/>
          <w:highlight w:val="none"/>
        </w:rPr>
        <w:t xml:space="preserve">（提供公安部或第三方机构出具的相关检测报告，原件扫描上传，中标后采购人核查原件）</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定时任务：预置点;巡航;线扫；</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★支持全景、细节两个摄像机云台，且都可通过IE浏览器设置云台转动位置；</w:t>
      </w:r>
      <w:r>
        <w:rPr>
          <w:rFonts w:hint="eastAsia" w:ascii="宋体" w:hAnsi="宋体" w:cs="宋体"/>
          <w:b/>
          <w:color w:val="auto"/>
          <w:szCs w:val="21"/>
          <w:highlight w:val="none"/>
        </w:rPr>
        <w:t xml:space="preserve">（提供公安部或第三方机构出具的相关检测报告，原件扫描上传，中标后采购人核查原件）</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视频结构化：支持机动车、非机动车、人脸、人体检测；支持优选；支持抓拍；支持上报最优的抓图机动车属性（车牌，车牌颜色 ，车辆类型，车身颜色，车标，车系/年款，遮阳板，安全带，抽烟，打电话，车内饰品，年检标志）非机动车属性（类型，车身颜色，骑车人数，上衣类型，上衣颜色，帽子）人体属性（上衣类型，下衣类型，上衣颜色，下衣颜色，背包，帽子，性别，雨伞）人脸属性（性别，年龄，表情，戴眼镜，戴口罩，胡子）；</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★支持联动态和独立态，独立态时，全景摄像机和细节摄像机可分别对监控画面中出现的行人、机动车、非机动车进行检测和抓拍；并在IE浏览器上显示行人、机动车、非机动车属性；</w:t>
      </w:r>
      <w:r>
        <w:rPr>
          <w:rFonts w:hint="eastAsia" w:ascii="宋体" w:hAnsi="宋体" w:cs="宋体"/>
          <w:b/>
          <w:color w:val="auto"/>
          <w:szCs w:val="21"/>
          <w:highlight w:val="none"/>
        </w:rPr>
        <w:t xml:space="preserve">（提供公安部或第三方机构出具的相关检测报告，原件扫描上传，中标后采购人核查原件）</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周界防范：支持绊线入侵；支持区域入侵；支持穿越围栏；支持徘徊检测；支持物品遗留；支持物品搬移；支持快速移动；支持停车检测；支持人员聚集；支持人车分类报警；支持多种规则触发后联动细节相机定位、跟踪；</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★支持手动/自动调节全景摄像机和细节摄像机分别变倍和聚焦，并可以抓拍上传不同位置、不同倍率下的目标；</w:t>
      </w:r>
      <w:r>
        <w:rPr>
          <w:rFonts w:hint="eastAsia" w:ascii="宋体" w:hAnsi="宋体" w:cs="宋体"/>
          <w:b/>
          <w:color w:val="auto"/>
          <w:szCs w:val="21"/>
          <w:highlight w:val="none"/>
        </w:rPr>
        <w:t xml:space="preserve">（提供公安部或第三方机构出具的相关检测报告，原件扫描上传，中标后采购人核查原件）</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脸识别：支持人脸检测；支持人脸轨迹框；支持优选；支持抓拍；支持上报最优的人脸抓图；支持人脸增强，人脸曝光；支持人脸属性提取，支持6种属性，8种表情：性别，年龄，眼镜，表情（愤怒，悲伤，厌恶，害怕，惊讶，平静，高兴，困惑），口罩，胡子；支持人脸抠图区域可设：人脸，单寸照；支持实时抓拍，优选抓拍，质量优先三种抓拍策略；</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★支持设备跟踪目标分类可设置，当选择的分类目标触发规则之后进行目标联动跟踪，变倍跟踪，跟踪时间可选择；</w:t>
      </w:r>
      <w:r>
        <w:rPr>
          <w:rFonts w:hint="eastAsia" w:ascii="宋体" w:hAnsi="宋体" w:cs="宋体"/>
          <w:b/>
          <w:color w:val="auto"/>
          <w:szCs w:val="21"/>
          <w:highlight w:val="none"/>
        </w:rPr>
        <w:t xml:space="preserve">（提供公安部或第三方机构出具的相关检测报告，原件扫描上传，中标后采购人核查原件）</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支持添加5个人脸库；支持单个以及批量人员注册；支持人脸识别相似度设置；支持1万人脸底库的人脸比对</w:t>
      </w:r>
      <w:r/>
    </w:p>
    <w:p>
      <w:pPr>
        <w:numPr>
          <w:ilvl w:val="0"/>
          <w:numId w:val="9"/>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支持GB35114 A级</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（六）高空瞭望球型摄像机</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传感器类型：通道1（全景）：1/1.8英寸CMOS；通道2（细节）：1/1.8英寸CMOS；</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最高分辨率：全景：不小于8576 x 1864；细节：2688 × 1520；</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最低照度：【全景】0.0005Lux/F1.0（彩色），0.0001Lux/F1.0（黑白）；【细节】星光级超低照度，0.0005Lux/F1.6（彩色），0.0001Lux/F1.6（黑白），0 Lux with IR</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最大补光距离：白光50米，红外250米；</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焦距：【全景】2 mm；【细节】6~150 mm</w:t>
      </w:r>
      <w:r>
        <w:rPr>
          <w:rFonts w:hint="eastAsia" w:ascii="宋体" w:hAnsi="宋体" w:cs="宋体"/>
          <w:color w:val="auto"/>
          <w:szCs w:val="21"/>
          <w:highlight w:val="none"/>
        </w:rPr>
        <w:br/>
      </w:r>
      <w:r>
        <w:rPr>
          <w:rFonts w:hint="eastAsia" w:ascii="宋体" w:hAnsi="宋体" w:cs="宋体"/>
          <w:color w:val="auto"/>
          <w:szCs w:val="21"/>
          <w:highlight w:val="none"/>
        </w:rPr>
        <w:t xml:space="preserve">视场角： 水平视场角 58.8-3.1度(广角-望远) 垂直视场角 34.4-1.7度(广角-望远) 对角线视场角 66-3.5度(广角-望远)</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水平范围：360°</w:t>
      </w:r>
      <w:r>
        <w:rPr>
          <w:rFonts w:hint="eastAsia" w:ascii="宋体" w:hAnsi="宋体" w:cs="宋体"/>
          <w:color w:val="auto"/>
          <w:szCs w:val="21"/>
          <w:highlight w:val="none"/>
        </w:rPr>
        <w:br/>
      </w:r>
      <w:r>
        <w:rPr>
          <w:rFonts w:hint="eastAsia" w:ascii="宋体" w:hAnsi="宋体" w:cs="宋体"/>
          <w:color w:val="auto"/>
          <w:szCs w:val="21"/>
          <w:highlight w:val="none"/>
        </w:rPr>
        <w:t xml:space="preserve">垂直范围：-15°-90°(自动翻转)</w:t>
      </w:r>
      <w:r>
        <w:rPr>
          <w:rFonts w:hint="eastAsia" w:ascii="宋体" w:hAnsi="宋体" w:cs="宋体"/>
          <w:color w:val="auto"/>
          <w:szCs w:val="21"/>
          <w:highlight w:val="none"/>
        </w:rPr>
        <w:br/>
      </w:r>
      <w:r>
        <w:rPr>
          <w:rFonts w:hint="eastAsia" w:ascii="宋体" w:hAnsi="宋体" w:cs="宋体"/>
          <w:color w:val="auto"/>
          <w:szCs w:val="21"/>
          <w:highlight w:val="none"/>
        </w:rPr>
        <w:t xml:space="preserve">水平速度：水平键控速度：0.1°-210°/s,速度可设;水平预置点速度：240°/s</w:t>
      </w:r>
      <w:r>
        <w:rPr>
          <w:rFonts w:hint="eastAsia" w:ascii="宋体" w:hAnsi="宋体" w:cs="宋体"/>
          <w:color w:val="auto"/>
          <w:szCs w:val="21"/>
          <w:highlight w:val="none"/>
        </w:rPr>
        <w:br/>
      </w:r>
      <w:r>
        <w:rPr>
          <w:rFonts w:hint="eastAsia" w:ascii="宋体" w:hAnsi="宋体" w:cs="宋体"/>
          <w:color w:val="auto"/>
          <w:szCs w:val="21"/>
          <w:highlight w:val="none"/>
        </w:rPr>
        <w:t xml:space="preserve">垂直速度：垂直键控速度：0.1°-150°/s,速度可设;垂直预置点速度：200°/s</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【全景】支持区域入侵侦测、越界侦测、进入区域、离开区域事件侦测功能</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【全景】支持人员密度检测功能，检测覆盖范围不小于半径50米</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【全景】支持车辆拥堵检测功能，检测覆盖范围不小于半径100米，在封闭式道路中可以做拥堵事件检测，推荐在高速、环线、快速路或者主干线</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【细节】支持区域入侵侦测、越界侦测、进入区域、离开区域事件侦测功能</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【细节】支持全结构化：支持细节路混合目标检测，对检测区域内的人、非机动车、车进行同时抓拍上传，人脸人体关联输出，并实现对人脸、人体、车辆结构化属性特征信息提取</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支持点击联动功能，通过在客户端点击或者框选全景摄像机画面任意位置，细节跟随摄像机可自动通过云台调整与变焦，将该区域置于画面中心</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支持目标自动跟随功能，通过设置智能事件规则，对设定区域内触发事件的运动目标在设定的跟随时间内进行持续稳定跟随。并可在跟随过程中手动切换跟随目标</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支持手动选择跟随目标，在设定跟随时间内进行持续稳定跟随</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视频压缩标准：H.265;H.264;MJPEG；</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SD卡扩展：内置Micro SD卡插槽，支持Micro SD/Micro SDHC/Micro SDXC卡（最大支持512G）</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报警：7路报警输入，2路报警输出</w:t>
      </w:r>
      <w:r>
        <w:rPr>
          <w:rFonts w:hint="eastAsia" w:ascii="宋体" w:hAnsi="宋体" w:cs="宋体"/>
          <w:color w:val="auto"/>
          <w:szCs w:val="21"/>
          <w:highlight w:val="none"/>
        </w:rPr>
        <w:br/>
      </w:r>
      <w:r>
        <w:rPr>
          <w:rFonts w:hint="eastAsia" w:ascii="宋体" w:hAnsi="宋体" w:cs="宋体"/>
          <w:color w:val="auto"/>
          <w:szCs w:val="21"/>
          <w:highlight w:val="none"/>
        </w:rPr>
        <w:t xml:space="preserve">音频：2路音频输入，2路音频输出</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防护等级： IP66；符合 GB/T 17626.5 认证标准</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支持GB35114 A级安全加密</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★设备在全景拼接模式下，全景视频画面由8个视频画面拼接而成，垂直视场角≥110°，水平视场角≥360°；可抓拍拼接后的全景图片。</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★在全景视频图像中点击或框选移动目标至设备开始转动的时间不大于0.3s。</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★支持智能切换，当更换当前智能模式时设备不需重启，新智能模式即可生效。</w:t>
      </w:r>
      <w:r/>
    </w:p>
    <w:p>
      <w:pPr>
        <w:numPr>
          <w:ilvl w:val="0"/>
          <w:numId w:val="10"/>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★设备具有引导式配置功能，可分为3个步骤：第1步全景联动配置，第2步全景通道混合目标抓拍规则配置，第3步聚焦配置。</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（七）900万环保车辆卡口抓拍摄像机</w:t>
      </w:r>
      <w:r/>
    </w:p>
    <w:p>
      <w:pPr>
        <w:numPr>
          <w:ilvl w:val="0"/>
          <w:numId w:val="11"/>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车辆人脸卡口抓拍单元由防护罩组件及高清智能摄像机组成，抓拍单元防护罩前面板具有防尘、防水功能，单元内置LED暖光灯，单元支持网络防雷、防浪涌，宽温宽压等；</w:t>
      </w:r>
      <w:r/>
    </w:p>
    <w:p>
      <w:pPr>
        <w:numPr>
          <w:ilvl w:val="0"/>
          <w:numId w:val="11"/>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内置摄像机采用1英寸高帧率全局曝光CMOS传感器，分辨率可达4096 × 2160，帧率高达25帧，具有清晰度高、照度低、帧率高、色彩还原度好等特点</w:t>
      </w:r>
      <w:r/>
    </w:p>
    <w:p>
      <w:pPr>
        <w:numPr>
          <w:ilvl w:val="0"/>
          <w:numId w:val="11"/>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压缩输出码率：32 Kbps~16 Mbps</w:t>
      </w:r>
      <w:r>
        <w:rPr>
          <w:rFonts w:hint="eastAsia" w:ascii="宋体" w:hAnsi="宋体" w:cs="宋体"/>
          <w:color w:val="auto"/>
          <w:szCs w:val="21"/>
          <w:highlight w:val="none"/>
        </w:rPr>
        <w:br/>
      </w:r>
      <w:r>
        <w:rPr>
          <w:rFonts w:hint="eastAsia" w:ascii="宋体" w:hAnsi="宋体" w:cs="宋体"/>
          <w:color w:val="auto"/>
          <w:szCs w:val="21"/>
          <w:highlight w:val="none"/>
        </w:rPr>
        <w:t xml:space="preserve">帧率：25fps</w:t>
      </w:r>
      <w:r>
        <w:rPr>
          <w:rFonts w:hint="eastAsia" w:ascii="宋体" w:hAnsi="宋体" w:cs="宋体"/>
          <w:color w:val="auto"/>
          <w:szCs w:val="21"/>
          <w:highlight w:val="none"/>
        </w:rPr>
        <w:br/>
      </w:r>
      <w:r>
        <w:rPr>
          <w:rFonts w:hint="eastAsia" w:ascii="宋体" w:hAnsi="宋体" w:cs="宋体"/>
          <w:color w:val="auto"/>
          <w:szCs w:val="21"/>
          <w:highlight w:val="none"/>
        </w:rPr>
        <w:t xml:space="preserve">多码流：支持3码流：</w:t>
      </w:r>
      <w:r>
        <w:rPr>
          <w:rFonts w:hint="eastAsia" w:ascii="宋体" w:hAnsi="宋体" w:cs="宋体"/>
          <w:color w:val="auto"/>
          <w:szCs w:val="21"/>
          <w:highlight w:val="none"/>
        </w:rPr>
        <w:br/>
      </w:r>
      <w:r>
        <w:rPr>
          <w:rFonts w:hint="eastAsia" w:ascii="宋体" w:hAnsi="宋体" w:cs="宋体"/>
          <w:color w:val="auto"/>
          <w:szCs w:val="21"/>
          <w:highlight w:val="none"/>
        </w:rPr>
        <w:t xml:space="preserve">主码流：4096×2160（默认）；子码流：1920×1080（默认）；三码流：1920×1080（默认）</w:t>
      </w:r>
      <w:r/>
    </w:p>
    <w:p>
      <w:pPr>
        <w:numPr>
          <w:ilvl w:val="0"/>
          <w:numId w:val="11"/>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视频压缩标准：H.265；H.264；MJPEG；</w:t>
      </w:r>
      <w:r/>
    </w:p>
    <w:p>
      <w:pPr>
        <w:numPr>
          <w:ilvl w:val="0"/>
          <w:numId w:val="11"/>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图片编码格式：JPEG；</w:t>
      </w:r>
      <w:r/>
    </w:p>
    <w:p>
      <w:pPr>
        <w:numPr>
          <w:ilvl w:val="0"/>
          <w:numId w:val="11"/>
        </w:num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违章检测：超速、压车道线、违章变道、未系安全带、未戴头盔、非机动车载人、不礼让行人、逆行、低速、机动车闯禁令、打电话、占用机动车道、摩托车闯禁令、加塞等违法行为</w:t>
      </w:r>
      <w:r/>
    </w:p>
    <w:p>
      <w:pPr>
        <w:numPr>
          <w:ilvl w:val="0"/>
          <w:numId w:val="11"/>
        </w:num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机动车：车牌识别：支持识别符合GA 36《中华人民共和国机动车号牌》标准的车牌类型；</w:t>
      </w:r>
      <w:r/>
    </w:p>
    <w:p>
      <w:pPr>
        <w:numPr>
          <w:ilvl w:val="0"/>
          <w:numId w:val="11"/>
        </w:num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车身颜色识别：白、灰、黄、红、紫、绿、蓝、棕、黑；</w:t>
      </w:r>
      <w:r/>
    </w:p>
    <w:p>
      <w:pPr>
        <w:numPr>
          <w:ilvl w:val="0"/>
          <w:numId w:val="11"/>
        </w:num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车型识别：大客车、中型客车、大货车、小货车、面包车、皮卡、轿车、SUV/MPV、二轮车、三轮车；</w:t>
      </w:r>
      <w:r/>
    </w:p>
    <w:p>
      <w:pPr>
        <w:numPr>
          <w:ilvl w:val="0"/>
          <w:numId w:val="11"/>
        </w:num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支持视频触发等多种触发模式并实现全结构化：支持深度学习算法，支持多目标混合场景应用，实时提取机动车、非机动车、行人、人脸等目标全结构化信息，为大数据业务提供全方位的特征数据基础。</w:t>
      </w:r>
      <w:r/>
    </w:p>
    <w:p>
      <w:pPr>
        <w:numPr>
          <w:ilvl w:val="0"/>
          <w:numId w:val="11"/>
        </w:num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支持机动车的车牌，车身颜色，车型，子品牌，驾驶室人员等特征检测，支持机动车的过车记录和违章行为检测抓拍。</w:t>
      </w:r>
      <w:r/>
    </w:p>
    <w:p>
      <w:pPr>
        <w:numPr>
          <w:ilvl w:val="0"/>
          <w:numId w:val="11"/>
        </w:num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支持非机动车和行人的抓拍和特征检测。</w:t>
      </w:r>
      <w:r/>
    </w:p>
    <w:p>
      <w:pPr>
        <w:numPr>
          <w:ilvl w:val="0"/>
          <w:numId w:val="11"/>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支持远程数据上传，GB/T 28181视频联网标准、GA/T 1400视图库标准、FTP协议，可将抓拍的图片上传给终端服务器、FTP服务器或者后端平台。</w:t>
      </w:r>
      <w:r/>
    </w:p>
    <w:p>
      <w:pPr>
        <w:numPr>
          <w:ilvl w:val="0"/>
          <w:numId w:val="11"/>
        </w:num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★外接鱼眼相机联动功能检查：支持两台设备（一个卡口、一个电警）和外接鱼眼相机，实现车辆的管控取证和违章变道的取证（支持配合终端服务器输出卡口和电警的抓拍合成图，可配置输出合成鱼眼图）</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11"/>
        </w:num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★图像传输延时检验：网络直连情况下，在只输出主码流、分辨率设置为1920 × 1080、帧率设置为25fps, 码率设置为1Mbps，网络协议为UDP、最短延时、智能分析关闭时，视频图像传输至客户端的延时时间小于等于70ms</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11"/>
        </w:num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★司乘人员抓拍性能试验：支持前排人脸检测，并识别主驾驶员的性别、是否戴眼镜结构化属性信息，可在抓拍图上叠加主/副驾驶人脸小图和主驾驶员的结构化属性信息。 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11"/>
        </w:numPr>
        <w:jc w:val="left"/>
        <w:spacing w:line="360" w:lineRule="auto"/>
        <w:widowControl/>
        <w:rPr>
          <w:rFonts w:ascii="宋体" w:hAnsi="宋体" w:cs="宋体"/>
          <w:b/>
          <w:bCs/>
          <w:color w:val="auto"/>
          <w:szCs w:val="21"/>
          <w:highlight w:val="none"/>
        </w:rPr>
      </w:pPr>
      <w:r>
        <w:rPr>
          <w:rFonts w:hint="eastAsia" w:ascii="宋体" w:hAnsi="宋体" w:cs="宋体"/>
          <w:color w:val="auto"/>
          <w:szCs w:val="21"/>
          <w:highlight w:val="none"/>
        </w:rPr>
        <w:t xml:space="preserve">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（八）四合一环保补光灯</w:t>
      </w:r>
      <w:r/>
    </w:p>
    <w:p>
      <w:pPr>
        <w:numPr>
          <w:ilvl w:val="0"/>
          <w:numId w:val="12"/>
        </w:num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支持LED灯频闪、LED爆闪、白光气体爆闪</w:t>
      </w:r>
      <w:r/>
    </w:p>
    <w:p>
      <w:pPr>
        <w:numPr>
          <w:ilvl w:val="0"/>
          <w:numId w:val="12"/>
        </w:num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支持相机误触发保护功能，触发信号输入异常时自动保护、且自动恢复</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光源类型：LED灯珠、气体灯管</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发光角度：LED：10°；气体灯：10°</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色温：LED＜4000K，气体灯＜7000K</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补光距离：16~25m</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光栅：内置LED光栅</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覆盖范围：单车道</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电源：220V±20%</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瞬时功率：1500W</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回电时间：小于67ms</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响应时间：LED≤20us，爆闪≤47us</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触发方式：电平量，可配置开关量</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LED触发频率：1Hz~250Hz</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LED触发占空比：1%~39%，当占空比大于等于40%时进入自保护状态</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爆闪时长：300us</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RS485接口：1路，可配置</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气体闪光次数：＞2000万次（2S闪一次）</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工作温度：-40℃～70℃</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工作湿度：湿度5%～95%@40℃，无凝结</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防护等级：IP65</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★符合《交通技术监控成像补光装置通用技术条件》（GA/T 1202-2022）</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12"/>
        </w:numPr>
        <w:spacing w:line="360" w:lineRule="auto"/>
        <w:rPr>
          <w:rFonts w:ascii="宋体" w:hAnsi="宋体" w:cs="宋体"/>
          <w:color w:val="auto"/>
          <w:szCs w:val="21"/>
          <w:highlight w:val="none"/>
        </w:rPr>
      </w:pPr>
      <w:r>
        <w:rPr>
          <w:rFonts w:hint="eastAsia" w:ascii="宋体" w:hAnsi="宋体" w:cs="宋体"/>
          <w:color w:val="auto"/>
          <w:szCs w:val="21"/>
          <w:highlight w:val="none"/>
          <w:lang w:bidi="ar"/>
        </w:rPr>
        <w:t xml:space="preserve">★补光装置光辐射安全性能应符合GB/T 37985-2019规定的0类或1类危险要求</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（九）5口交换机</w:t>
      </w:r>
      <w:r/>
    </w:p>
    <w:p>
      <w:pPr>
        <w:numPr>
          <w:ilvl w:val="0"/>
          <w:numId w:val="13"/>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支持交换容量不小于128Gbps；</w:t>
      </w:r>
      <w:r/>
    </w:p>
    <w:p>
      <w:pPr>
        <w:numPr>
          <w:ilvl w:val="0"/>
          <w:numId w:val="13"/>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支持包转发率不小于20Mpps；</w:t>
      </w:r>
      <w:r/>
    </w:p>
    <w:p>
      <w:pPr>
        <w:numPr>
          <w:ilvl w:val="0"/>
          <w:numId w:val="13"/>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支持防护等级IP40、IK06；</w:t>
      </w:r>
      <w:r/>
    </w:p>
    <w:p>
      <w:pPr>
        <w:numPr>
          <w:ilvl w:val="0"/>
          <w:numId w:val="13"/>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支持不少于5个10/100BASE-T电口；</w:t>
      </w:r>
      <w:r/>
    </w:p>
    <w:p>
      <w:pPr>
        <w:numPr>
          <w:ilvl w:val="0"/>
          <w:numId w:val="13"/>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支持空载功耗不超过0.3W，满载功耗不超过2.1W；</w:t>
      </w:r>
      <w:r/>
    </w:p>
    <w:p>
      <w:pPr>
        <w:numPr>
          <w:ilvl w:val="0"/>
          <w:numId w:val="13"/>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支持在湿度不超过5%～95%RH（无凝结），温度不超过-30℃～75℃的环境下正常工作；</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（十）管理通道授权/路</w:t>
      </w:r>
      <w:r/>
    </w:p>
    <w:p>
      <w:pPr>
        <w:numPr>
          <w:ilvl w:val="0"/>
          <w:numId w:val="14"/>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通道接入授权，包括以下类型的通道：</w:t>
      </w:r>
      <w:r/>
    </w:p>
    <w:p>
      <w:pPr>
        <w:numPr>
          <w:ilvl w:val="0"/>
          <w:numId w:val="15"/>
        </w:numPr>
        <w:ind w:left="425" w:hanging="42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编码通道：用于视频或图片编码的通道。</w:t>
      </w:r>
      <w:r/>
    </w:p>
    <w:p>
      <w:pPr>
        <w:numPr>
          <w:ilvl w:val="0"/>
          <w:numId w:val="15"/>
        </w:numPr>
        <w:ind w:left="425" w:hanging="42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报警通道：用于报警信号上报的通道。</w:t>
      </w:r>
      <w:r/>
    </w:p>
    <w:p>
      <w:pPr>
        <w:numPr>
          <w:ilvl w:val="0"/>
          <w:numId w:val="15"/>
        </w:numPr>
        <w:ind w:left="425" w:hanging="42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解码通道：用于视频或图像解码上墙的通道。</w:t>
      </w:r>
      <w:r/>
    </w:p>
    <w:p>
      <w:pPr>
        <w:numPr>
          <w:ilvl w:val="0"/>
          <w:numId w:val="15"/>
        </w:numPr>
        <w:ind w:left="425" w:hanging="42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采集通道：用于采集MAC等数据的通道。</w:t>
      </w:r>
      <w:r/>
    </w:p>
    <w:p>
      <w:pPr>
        <w:spacing w:line="360" w:lineRule="auto"/>
        <w:rPr>
          <w:color w:val="auto"/>
          <w:highlight w:val="none"/>
        </w:rPr>
      </w:pPr>
      <w:r>
        <w:rPr>
          <w:rFonts w:hint="eastAsia"/>
          <w:b/>
          <w:bCs/>
          <w:color w:val="auto"/>
          <w:highlight w:val="none"/>
        </w:rPr>
        <w:t xml:space="preserve">（十一）</w:t>
      </w:r>
      <w:r>
        <w:rPr>
          <w:rFonts w:hint="eastAsia" w:ascii="宋体" w:hAnsi="宋体" w:cs="宋体"/>
          <w:b/>
          <w:bCs/>
          <w:color w:val="auto"/>
          <w:szCs w:val="21"/>
          <w:highlight w:val="none"/>
        </w:rPr>
        <w:t xml:space="preserve">云存储容量授权</w:t>
      </w:r>
      <w:r/>
    </w:p>
    <w:p>
      <w:pPr>
        <w:numPr>
          <w:ilvl w:val="0"/>
          <w:numId w:val="16"/>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支持对所有存储节点、所有硬盘资源虚拟化成统一的存储空间，支持存储容量资源的统一管理，支持集群存储容量动态扩容; 支持集群热备容量管理；</w:t>
      </w:r>
      <w:r/>
    </w:p>
    <w:p>
      <w:pPr>
        <w:numPr>
          <w:ilvl w:val="0"/>
          <w:numId w:val="16"/>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支持为不同存储用户分配不同的存储空间和创建不同的资源池；支持灵活修改资源池属性，支持对分配的资源池容量在线扩容；</w:t>
      </w:r>
      <w:r/>
    </w:p>
    <w:p>
      <w:pPr>
        <w:numPr>
          <w:ilvl w:val="0"/>
          <w:numId w:val="16"/>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支持文件删除立即回收存储容量；支持文件过期自动回收存储容量；支持生命周期紧急覆盖策略下对用户空间容量进行回收，保证新业务数据持续写入，业务不中断；</w:t>
      </w:r>
      <w:r/>
    </w:p>
    <w:p>
      <w:pPr>
        <w:numPr>
          <w:ilvl w:val="0"/>
          <w:numId w:val="16"/>
        </w:numPr>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此外，还包</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括级联通道和其他添加的通道类型，确保全面支持各种通道需求。</w:t>
      </w:r>
      <w:r/>
    </w:p>
    <w:p>
      <w:pPr>
        <w:numPr>
          <w:ilvl w:val="0"/>
          <w:numId w:val="16"/>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云存储软件</w:t>
      </w:r>
      <w:r>
        <w:rPr>
          <w:b w:val="0"/>
          <w:bCs w:val="0"/>
        </w:rPr>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支持主流的对象存储架构、容错算法、智能化的资源调度技术，提供了基于分布式文件系统的数据存储能力，具备大容量、高可靠、高性能、使用简单、自动化管理等特点，保障数据的电信级安全可靠，支持集群横向扩展，满足海量大数据、云计算业务的庞大需求；</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应支持对文件生命周期管理，会自动感知云存储的状态，包括用户空间使用情况以及用户/bucket的生命周期/文件信息，根据生命周期策略对需要删除的文件进行删除支持安防行业特点的生命周期的紧急覆盖；</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同一朵云存储集群支持扩容增加异构性能存储节点和管理服务器，覆盖不同CPU架构和不同型号，覆盖不同单路、双路CPU、不同操作系统。云存储集群在添加设备、数据存储、数据访问、数据转发等全链路上，支持9层服务级全局自动负载均衡（覆盖设备接入负载、存储负载、转发负载、下载负载、数据恢复负载、图片访问负载、机架负载、节点负载、硬盘负载），每台服务器针对链路上的每个服务均可以配置不同的能力值，每个层级上的各服务根据节点能力值和服务器硬件空闲资源，统一调度和管理，动态调整；</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应支持对已存储的图片在下载过程中自动进行图片缩略，抠图等特性；</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应支持根据不同用户的需求，划分存储配额空间，底层存储池共用同一个；</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应支持视频和图片的基础存储业务，包括录像计划，图片计划配置管理，包括视频流按通道和类型进行分类，并进行相应的索引创建等；</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应支持流媒体动态负载均衡，弹性扩容，具备快速故障接管能力支持RTSP,HLS,FLV等流媒体协议；</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应支持分布式的的消息服务，具备高效、可靠、安全、便携、可弹性扩展等能力，同时支持数据压缩、离线和实时数据处理等；</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应支持抽取消息队列中的消息，实现基于SQL规则的实时数据处理；</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★云存储集群单节点图片并发性能同时不低于31000张/秒的写入和同时31000张/秒的读出，云存储集群图片整体读写性能支持随节点数量扩容增加而线性扩展递增；</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应支持集群容灾，在至少80%磁盘利用率下，最大容忍M台（N+M可设，比如：4+1，8+2，16+4等）节点同时故障（网络故障、断点、节点硬盘全部故障等情况），历史数据不丢失，数据全部完整，业务不中断；</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支持对节点下线或者节点删除配置数据恢复保护策略，支持不进行数据恢复和配置数据恢复延时触发时间，保证业务新数据写入连续性、以及节点整机离线维修期间数据稳定性。支持对每种N+M写入文件配置不同等级恢复策略，对于M&gt;=2的冗余模式文件，配置触发数据恢复的时机为异常分片个数大于等于M/2；</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应支持智能多域，支持视频和图片的就近域存储，支持从分域获取图片和视频到主域进行分析，支持结构化数据从分域汇聚到主域，支持域间灾备，设备级接管和回迁；</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云存储设备支持系统盘关键数据备份到数据盘中，并生成不低于16份副本，系统盘更换或重装后，云存储软件自动从数据盘检索最新数据，恢复数据库、配置文件及路线索引文件，将系统盘恢复到故障前状态；</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支持对硬盘进行在线优雅安全下线和上线（先进行指令交互，再进行上下线操作），业务无感知，数据读写无异常，无需触发数据恢复。支持对异常盘快速搜索，快速定位，支持按照不同类别对硬盘进行排序和关键字搜索，支持按照节点列表快速搜索集群所有节点上的异常硬盘情况。</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应支持网络故障自动发现和隔离，在1秒内感知到故障节点，1秒内进行隔离，提升系统可靠性；支持回收站功能，防止数据误删，支持回收时间配置；</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支持对云存储系统所有服务器中的所有SSD盘进行监控检测和信息汇总，可视化展示磨损度信息和预测SSD使用寿命。支持SSD磨损度预警阈值设置，对磨损严重的异常SSD进行预警，对汇总SSD磨损度情况支持快速搜索和定位。SSD信息支持展示最大寿命使用时间预测、以及当前已使用时间；</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支持全面的数据保护和容灾能力；支持存储池，机架，节点和硬盘四级容错配置；支持故障域隔离，支持逻辑域和物理域隔离，最大支持20个节点同时故障，数据不丢失；资源池支持管理多个存储池，支持不同用户绑定在不同资源池上; 支持一键批量配置存储池，支持一键导出存储池配置； </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应支持外部用户订阅规则引擎的运维信息，实时订阅支持部分订阅/全量订阅；支持用户对任务进行编排；单节点同时并发任务不低于6000条，并发任务随节点数量线性提升；</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云存储管理节点全部故障情况下，业务数据支持以EC分片存储在节点本地硬盘中，业务数据支持硬盘容错。管理节点恢复之后节点自动同步更新管理节点中文件元数据信息，默认无需数据重分布和二次写入云存储，支持一键触发开启本地硬盘部分EC数据迁移到其他节点中，历史数据可自动从硬盘容错升级为节点容错、机架容错；</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支持时间轴展示智能目标密度，支持随着时间轴缩放动态展示目标密度；支持智能目标连续跳跃播放，支持智能目标逐帧正放，逐帧倒放，倍速播放，倒放；</w:t>
      </w:r>
      <w:r/>
    </w:p>
    <w:p>
      <w:pPr>
        <w:numPr>
          <w:ilvl w:val="0"/>
          <w:numId w:val="1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要求与原广陵公安视频云存储系统无缝对接，中标人须在中标后五个工作日内自行前往扬州市公安局广陵分局进行对接测试，如测试未通过或未测试，将视为提供虚假材料谋取中标，采购人取消中标人的中标资格，并报请政府采购监管部门处理</w:t>
      </w:r>
      <w:r>
        <w:rPr>
          <w:rFonts w:hint="eastAsia" w:ascii="宋体" w:hAnsi="宋体" w:cs="宋体"/>
          <w:b/>
          <w:bCs/>
          <w:color w:val="auto"/>
          <w:szCs w:val="21"/>
          <w:highlight w:val="none"/>
        </w:rPr>
        <w:t xml:space="preserve">（提供加盖投标人公章的承诺书，格式自拟，扫描上传）</w:t>
      </w:r>
      <w:r>
        <w:rPr>
          <w:rFonts w:hint="eastAsia" w:ascii="宋体" w:hAnsi="宋体" w:cs="宋体"/>
          <w:color w:val="auto"/>
          <w:szCs w:val="21"/>
          <w:highlight w:val="none"/>
        </w:rPr>
        <w:t xml:space="preserve">。</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（十二）企业硬盘</w:t>
      </w:r>
      <w:r/>
    </w:p>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单盘容量：8TB；</w:t>
      </w:r>
      <w:r/>
    </w:p>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缓存：256MB；</w:t>
      </w:r>
      <w:r/>
    </w:p>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转速：7200RPM；</w:t>
      </w:r>
      <w:r/>
    </w:p>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硬盘接口：SATA</w:t>
      </w:r>
      <w:r/>
    </w:p>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专为安防存储设计的企业级硬盘，质保五年；</w:t>
      </w:r>
      <w:r/>
    </w:p>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支持单盘、RAID存储方式；</w:t>
      </w:r>
      <w:r/>
    </w:p>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SATA接口、CMR磁记录方式。</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（十三）人脸算法授权</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ab/>
      </w:r>
      <w:r>
        <w:rPr>
          <w:rFonts w:hint="eastAsia" w:ascii="宋体" w:hAnsi="宋体" w:cs="宋体"/>
          <w:color w:val="auto"/>
          <w:szCs w:val="21"/>
          <w:highlight w:val="none"/>
        </w:rPr>
        <w:t xml:space="preserve">人像大数据平台授权的功能主要包括态势、预警中心、检索中心等功能。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ab/>
      </w:r>
      <w:r>
        <w:rPr>
          <w:rFonts w:hint="eastAsia" w:ascii="宋体" w:hAnsi="宋体" w:cs="宋体"/>
          <w:color w:val="auto"/>
          <w:szCs w:val="21"/>
          <w:highlight w:val="none"/>
        </w:rPr>
        <w:t xml:space="preserve">布控任务具备摄像机与布控库多对多关联功能，布控任务分为长期布控和临时布控；临时布控可设置布控时长。</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rPr>
        <w:tab/>
      </w:r>
      <w:r>
        <w:rPr>
          <w:rFonts w:hint="eastAsia" w:ascii="宋体" w:hAnsi="宋体" w:cs="宋体"/>
          <w:color w:val="auto"/>
          <w:szCs w:val="21"/>
          <w:highlight w:val="none"/>
        </w:rPr>
        <w:t xml:space="preserve">路人库具备以图搜图功能，可设置时间和区域进行搜索，搜索结果具备导出功能。</w:t>
      </w:r>
      <w:r/>
    </w:p>
    <w:p>
      <w:pPr>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rPr>
        <w:tab/>
      </w:r>
      <w:r>
        <w:rPr>
          <w:rFonts w:hint="eastAsia" w:ascii="宋体" w:hAnsi="宋体" w:cs="宋体"/>
          <w:color w:val="auto"/>
          <w:szCs w:val="21"/>
          <w:highlight w:val="none"/>
        </w:rPr>
        <w:t xml:space="preserve">支持对视频中水平转动角度不超过±80°、俯仰角不超过±45°、倾斜角不超过±45°的人脸进行检出和抓拍。</w:t>
      </w:r>
      <w:r/>
    </w:p>
    <w:p>
      <w:pPr>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rPr>
        <w:tab/>
      </w:r>
      <w:r>
        <w:rPr>
          <w:rFonts w:hint="eastAsia" w:ascii="宋体" w:hAnsi="宋体" w:cs="宋体"/>
          <w:color w:val="auto"/>
          <w:szCs w:val="21"/>
          <w:highlight w:val="none"/>
        </w:rPr>
        <w:t xml:space="preserve">在人脸被遮挡不大于 1/2（遮挡方式为戴口罩）的情况下，采用人脸抓拍图片进行测试，人脸检出率≥99%。</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rPr>
        <w:tab/>
      </w:r>
      <w:r>
        <w:rPr>
          <w:rFonts w:hint="eastAsia" w:ascii="宋体" w:hAnsi="宋体" w:cs="宋体"/>
          <w:color w:val="auto"/>
          <w:szCs w:val="21"/>
          <w:highlight w:val="none"/>
        </w:rPr>
        <w:t xml:space="preserve">开启戴口罩报警后，支持对人脸戴口罩进行报警。采用视频进行测试，人脸戴口罩报警准确率≥99.5%。</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rPr>
        <w:tab/>
      </w:r>
      <w:r>
        <w:rPr>
          <w:rFonts w:hint="eastAsia" w:ascii="宋体" w:hAnsi="宋体" w:cs="宋体"/>
          <w:color w:val="auto"/>
          <w:szCs w:val="21"/>
          <w:highlight w:val="none"/>
        </w:rPr>
        <w:t xml:space="preserve">当抓拍人脸与布控库比对报警时，可与静态库进行比对，若相似度高于报警相似度，系统可给出可能误报提示。</w:t>
      </w:r>
      <w:r/>
    </w:p>
    <w:p>
      <w:pPr>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rPr>
        <w:tab/>
      </w:r>
      <w:r>
        <w:rPr>
          <w:rFonts w:hint="eastAsia" w:ascii="宋体" w:hAnsi="宋体" w:cs="宋体"/>
          <w:color w:val="auto"/>
          <w:szCs w:val="21"/>
          <w:highlight w:val="none"/>
        </w:rPr>
        <w:t xml:space="preserve">★3000 万监视名单容量下，采用人脸抓拍图片进行布控报警测试，相似度阈值设置为 90 时，监视名单漏报率≤0.1%，监视名单人脸报警准确率≥99.9%，非监视名单误 报率≤0.04%。</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rPr>
        <w:tab/>
      </w:r>
      <w:r>
        <w:rPr>
          <w:rFonts w:hint="eastAsia" w:ascii="宋体" w:hAnsi="宋体" w:cs="宋体"/>
          <w:color w:val="auto"/>
          <w:szCs w:val="21"/>
          <w:highlight w:val="none"/>
        </w:rPr>
        <w:t xml:space="preserve">★10亿人脸库（由委托方提供）下，以脸搜脸首位命中率不低于 99%。</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rPr>
        <w:tab/>
      </w:r>
      <w:r>
        <w:rPr>
          <w:rFonts w:hint="eastAsia" w:ascii="宋体" w:hAnsi="宋体" w:cs="宋体"/>
          <w:color w:val="auto"/>
          <w:szCs w:val="21"/>
          <w:highlight w:val="none"/>
        </w:rPr>
        <w:t xml:space="preserve">★支持对图片中 15 像素×15 像素～ 12000 像素×14448 像素的人脸图片进行检出和抓拍。</w:t>
      </w:r>
      <w:r>
        <w:rPr>
          <w:rFonts w:hint="eastAsia" w:ascii="宋体" w:hAnsi="宋体" w:cs="宋体"/>
          <w:b/>
          <w:bCs/>
          <w:color w:val="auto"/>
          <w:szCs w:val="21"/>
          <w:highlight w:val="none"/>
        </w:rPr>
        <w:t xml:space="preserve">（提供公安部或第三方机构出具的相关检测报告，原件扫描上传，中标后采购人核查原件）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为保护原有投资避免二次浪费并确保业务的延续性、服务的整体性、数据的一致性，投标人所投的人像大数据平台授权能够无缝兼容扬州市公安局广陵分局现有的人脸大数据平台，能够实现无缝扩容、利旧检索现有系统中的特征值数据等功能，并能实现与扬州市市局平台的一体化功能，市局不再进行二次解析</w:t>
      </w:r>
      <w:r>
        <w:rPr>
          <w:rFonts w:hint="eastAsia" w:ascii="宋体" w:hAnsi="宋体" w:cs="宋体"/>
          <w:b/>
          <w:bCs/>
          <w:color w:val="auto"/>
          <w:szCs w:val="21"/>
          <w:highlight w:val="none"/>
        </w:rPr>
        <w:t xml:space="preserve">（投标人提供承诺函并加盖公章）</w:t>
      </w:r>
      <w:r>
        <w:rPr>
          <w:rFonts w:hint="eastAsia" w:ascii="宋体" w:hAnsi="宋体" w:cs="宋体"/>
          <w:color w:val="auto"/>
          <w:szCs w:val="21"/>
          <w:highlight w:val="none"/>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五、实施及系统对接要求</w:t>
      </w:r>
      <w:r/>
    </w:p>
    <w:p>
      <w:pPr>
        <w:ind w:firstLine="420"/>
        <w:spacing w:line="360" w:lineRule="auto"/>
        <w:rPr>
          <w:rFonts w:ascii="宋体" w:hAnsi="宋体" w:cs="宋体"/>
          <w:b/>
          <w:color w:val="auto"/>
          <w:szCs w:val="21"/>
          <w:highlight w:val="none"/>
        </w:rPr>
      </w:pPr>
      <w:r>
        <w:rPr>
          <w:rFonts w:hint="eastAsia" w:ascii="宋体" w:hAnsi="宋体" w:cs="宋体"/>
          <w:i/>
          <w:color w:val="auto"/>
          <w:szCs w:val="21"/>
          <w:highlight w:val="none"/>
          <w:u w:val="single"/>
        </w:rPr>
        <w:t xml:space="preserve">1、要求系统无缝对接，设备须与广陵分局现有平台无缝对接，确保实现预期功能、保证技防运用效果。中标人在项目五年免费质保期内提供软件免费升级服务。同时中标人需免费提供系统接口标准，供扬州市公安局各警种接入或调用。</w:t>
      </w:r>
      <w:r>
        <w:rPr>
          <w:rFonts w:hint="eastAsia" w:ascii="宋体" w:hAnsi="宋体" w:cs="宋体"/>
          <w:b/>
          <w:bCs/>
          <w:i/>
          <w:color w:val="auto"/>
          <w:szCs w:val="21"/>
          <w:highlight w:val="none"/>
          <w:u w:val="single"/>
        </w:rPr>
        <w:t xml:space="preserve">（投标文件中需提供承诺函加盖投标人公章，格式自拟）</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2、技术实施方案</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本项目安装建设时应遵循技术先进、功能齐全、性能稳定、节约成本的原则。综合考虑后期维护及操作等因素，并为今后的发展、扩建、改造等留有扩充的余地。本系统建设内容是系统的、完整的、全面的；方案具有科学性、合理性、可操作性。其具备以下原则：</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兼容性：系统摄像头可无缝接入广陵公安分局现有管理系统，硬件设备和软件综合平台必须可接入现有或后续安装的产品。</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安全性：前端对系统采取必要的安全保护措施，防止病毒感染、黑客攻击、非法访问，防雷击、过载、断电和人为破坏等，具有高度的安全性和保密性。</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规模性：控制协议、编解码协议、接口协议、视频文件格式、传输协议等应符合相关国家标准、行业标准和技术规范。</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可靠性：系统基于可靠的网络通信技术，能确保系统级别的高稳定性和可靠性，设有7*24小时故障报修受理服务机构，全年365天的全天候长期稳定运行。</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可管理性：系统的所有用户需有权限设置管理功能，各用户在其权限方位内查看相应视频。视频接入系统集中于监控中心统一控制管理，实现对所有远端设备的控制和设置。保证系统的高效、有序、可靠的发挥其应用管理职能。</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可维护性：所建设的系统和采用的产品应简单、实用、易操作、易维护。系统的易操作和易维护是保证非计算机专业人员使用好本系统的先决条件。并且，系统应具备自检、故障诊断及故障弱化功能，在出现故障时，应能得到及时、快速的维护。</w:t>
      </w:r>
      <w:r/>
    </w:p>
    <w:p>
      <w:pPr>
        <w:ind w:firstLine="48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3、安装建设方案</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根据要求，提供项目的组织保证措施、工期保证措施、质量保证措施、安全保证措施等方案。负责对项目建设进行总体管理，完成本项目所有设备安装调试、外场立杆施工、总体联调工作。负责完成本项目的所有市政配套工程建设，包括市政有关手续的办理，绿化，路面等市政设施损坏的补偿等。负责安排专人负责对相关设备、点位等信息按照省厅、市公安局“一机一档”建设要求进行配置、联调、对接、系统录入等工作。该项目要求与</w:t>
      </w:r>
      <w:r>
        <w:rPr>
          <w:rFonts w:hint="eastAsia" w:ascii="宋体" w:hAnsi="宋体" w:cs="宋体"/>
          <w:bCs/>
          <w:iCs/>
          <w:color w:val="auto"/>
          <w:szCs w:val="21"/>
          <w:highlight w:val="none"/>
          <w:lang w:val="en-US" w:eastAsia="zh-CN"/>
        </w:rPr>
        <w:t xml:space="preserve">广陵</w:t>
      </w:r>
      <w:r>
        <w:rPr>
          <w:rFonts w:hint="eastAsia" w:ascii="宋体" w:hAnsi="宋体" w:cs="宋体"/>
          <w:bCs/>
          <w:iCs/>
          <w:color w:val="auto"/>
          <w:szCs w:val="21"/>
          <w:highlight w:val="none"/>
        </w:rPr>
        <w:t xml:space="preserve">公安分局现有监控平台系统无缝对接，实现资源统一管理、应用整合共享。中标人提供的货物安装前必须经采购人确认系统对接无问题后方可进场，如因对接问题造成的一切误工损失均由中标人负责。根据招标技术要求，提供对现有系统的升级扩容方案。</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组织保证措施：</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投标人应编制组织保证措施方案，提供针对本项目的人员投入方案。形成组织架构，投入的项目组至少包含项目经理、施工员、专职安全员等。明确投入人员的岗位职责。设立项目管理体系，建立有效的沟通机制，确保项目信息畅通，提高决策效率。确保每个成员都能在其岗位上发挥最大效能。保证项目能够得按照项目计划实施。</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实施团队要求：拟投入项目经理</w:t>
      </w:r>
      <w:r>
        <w:rPr>
          <w:rFonts w:hint="eastAsia" w:ascii="宋体" w:hAnsi="宋体" w:cs="宋体"/>
          <w:bCs/>
          <w:iCs/>
          <w:color w:val="auto"/>
          <w:szCs w:val="21"/>
          <w:highlight w:val="none"/>
          <w:lang w:val="en-US" w:eastAsia="zh-CN"/>
        </w:rPr>
        <w:t xml:space="preserve">1名</w:t>
      </w:r>
      <w:r>
        <w:rPr>
          <w:rFonts w:hint="eastAsia" w:ascii="宋体" w:hAnsi="宋体" w:cs="宋体"/>
          <w:bCs/>
          <w:iCs/>
          <w:color w:val="auto"/>
          <w:szCs w:val="21"/>
          <w:highlight w:val="none"/>
        </w:rPr>
        <w:t xml:space="preserve">（具有信息系统项目管理师、系统规划与管理师、注册信息安全专业人员）。拟投入项目组成员不少于2名具有信息系统项目管理师或网络工程师证书</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工期保证措施：</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投标人应编制工期保证措施方案，方案工期要求不得低于招标文件的规定。提供工期保障所必须的工期目标、进度计划、材料保证、机具保证、人员保证、工期影响因素分析以及工期控制措施。保证项目按期完成。</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质量保证措施：</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投标人应编制质量保证措施方案，提出质量管理目标、质量保证措施、质量控制点等。</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项目安装质量要求：</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设备立杆安装在绿化带、花砖处，不得树立在道路、广场、景观带等妨碍车辆及人员出行、娱乐休闲的位置，并考虑与路面环境相协调。立杆必须垂直安装，并印有统一标志，并配有统一、牢固的专用锁。所有线路不得外挂，全部穿入立杆内。</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所有线路及管道、接电、绿化修复由中标人自行解决，采购人不承担任何费用。</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除电源地线正常连接之外，整个前端设备通过立杆进行接地，接地采用4cm角钢打入地下2米以上，并于立杆进行焊接。接地电阻不得大于10欧姆。</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不得破坏主路面，如需破坏人行道路面时，应采用立即开挖、立即修复方式，开挖与修复应在同一天进行，并保证线路敷设深度到达车辆通行标准。破土时尽量选择绿化少、城市建设管道少的位置开挖，开挖后应及时回填。</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部分线路需要架空时，架空高度不得低于6米，部分特殊地段按现场特殊要求。架空线路必须采用架空钢丝绳，采用挂钩将线缆挂于空中。</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项目完成后，中标人需根据实际实施情况准备好最终图纸，包含点位图，布线图等；整理好相关资料，包括施工记录、图纸、网络IP清单、设备清单、项目自检报告、技术资料、系统技术说明书、使用说明书、维护手册、实施总结等及招标人要求提供的其他相关文件资料；中标人自检后向采购人申请验收，验收中相关纸质文档必须签字盖章，汇总后交采购人。</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安全保证措施：</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投标人应编制安全保证措施方案：包含安全管理目标、组织措施、技术措施、经济措施、安全管理制度等。明确安全责任体系，根据项目特点，配置必要的安全防护设施，保证安全措施能够落实，确保项目在施工过程中实现安全生产，降低安全风险，为项目的顺利推进提供坚实的安全保障。</w:t>
      </w:r>
      <w:r/>
    </w:p>
    <w:p>
      <w:pPr>
        <w:ind w:firstLine="480"/>
        <w:spacing w:line="360" w:lineRule="auto"/>
        <w:rPr>
          <w:rFonts w:ascii="宋体" w:hAnsi="宋体" w:cs="宋体"/>
          <w:b/>
          <w:iCs/>
          <w:color w:val="auto"/>
          <w:szCs w:val="21"/>
          <w:highlight w:val="none"/>
        </w:rPr>
      </w:pPr>
      <w:r>
        <w:rPr>
          <w:rFonts w:hint="eastAsia" w:ascii="宋体" w:hAnsi="宋体" w:cs="宋体"/>
          <w:b/>
          <w:iCs/>
          <w:color w:val="auto"/>
          <w:szCs w:val="21"/>
          <w:highlight w:val="none"/>
        </w:rPr>
        <w:t xml:space="preserve">4、联网运维服务方案</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本项目要求网络具有较强的稳定性、高效性和时效性，满足监控前端到监控中心的网络传输质量，确保网络稳定。并有可靠的安全机制保证数据的保密性和完整性、安全性。</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平台系统维护要求：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（1）‌设备维护‌：</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定期巡检：对监控设备进行定期巡检，确保设备正常运行。</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故障处理：及时排查和处理出现的故障，确保故障设备尽快恢复正常。</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定期更新：根据设备使用情况和需求，定期更新软件和固件，确保系统安全性。</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数据备份：定期对监控数据进行备份，以防数据丢失或损坏。</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 ‌系统更新与补丁管理‌：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系统补丁升级：因应用系统软件改版或功能扩充等原因进行系统升级。</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巡检服务：提供系统运行性能诊断及设备检修保养服务，减少故障发生率及延长使用周期。</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 ‌安全保障‌：</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系统安全管理：进行系统安全管理、数据管理，根据问题性质决定解决问题的方法并跟踪其执行。</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定期诊断测试：对系统进行诊断测试，查看错误信息、性能调优、功能完善等，并提供巡检报告。</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（4）‌数据管理‌：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历史数据存储：平台应能够长期保存历史监控数据，供运维人员随时查询和分析。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报表生成：支持自动生成各类监控报表，如日报、周报、月报等，帮助运维团队全面了解系统的运行状况。</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六、供货及售后服务要求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1、完成时间要求：</w:t>
      </w:r>
      <w:r>
        <w:rPr>
          <w:rFonts w:hint="eastAsia" w:ascii="宋体" w:hAnsi="宋体" w:cs="宋体"/>
          <w:i/>
          <w:iCs/>
          <w:color w:val="auto"/>
          <w:szCs w:val="21"/>
          <w:highlight w:val="none"/>
          <w:u w:val="single"/>
        </w:rPr>
        <w:t xml:space="preserve">合同签订后120天完工（后端设备须在合同签订后30天内完成供货及安装，相关监控及设备须在合同签订后120天内完成供货及安装）</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供应商在投标文件中须提供承诺书原件上传（承诺书格式自拟），未承诺的作无效投标处理。</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2、项目经理与投标文件中所确定的人员一致，安装施工、调试人员必须是经过专门培训、考核，并取得合格证书和上岗证书，经验丰富的人员。</w:t>
      </w:r>
      <w:r/>
    </w:p>
    <w:p>
      <w:pPr>
        <w:ind w:firstLine="420"/>
        <w:jc w:val="left"/>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3、货物到达安装现场后，中标人应提供详细的产品清单。如果货物质量或技术规格与合同不符或货物有明显损坏，采购人有权提出退换货。中标人不予退货或整改的，采购人有权终止合同。</w:t>
      </w:r>
      <w:r/>
    </w:p>
    <w:p>
      <w:pPr>
        <w:ind w:firstLine="420"/>
        <w:jc w:val="left"/>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4、安装调试服务：</w:t>
      </w:r>
      <w:r>
        <w:rPr>
          <w:rFonts w:hint="eastAsia" w:ascii="宋体" w:hAnsi="宋体" w:cs="宋体"/>
          <w:color w:val="auto"/>
          <w:szCs w:val="21"/>
          <w:highlight w:val="none"/>
        </w:rPr>
        <w:t xml:space="preserve">中标人应对其提供的货物提供现场专业技术咨询、安装、调试、初验、终验和试运行保障服务（提供安装、测试所用的测试设备、工具等）。</w:t>
      </w:r>
      <w:bookmarkEnd w:id="59"/>
      <w:r/>
      <w:r/>
    </w:p>
    <w:p>
      <w:pPr>
        <w:ind w:firstLine="420"/>
        <w:jc w:val="left"/>
        <w:spacing w:line="360" w:lineRule="auto"/>
        <w:rPr>
          <w:rFonts w:ascii="宋体" w:hAnsi="宋体" w:cs="宋体"/>
          <w:bCs/>
          <w:color w:val="auto"/>
          <w:szCs w:val="21"/>
          <w:highlight w:val="none"/>
        </w:rPr>
      </w:pPr>
      <w:r>
        <w:rPr>
          <w:rFonts w:hint="eastAsia" w:ascii="宋体" w:hAnsi="宋体" w:cs="宋体"/>
          <w:color w:val="auto"/>
          <w:highlight w:val="none"/>
        </w:rPr>
        <w:t xml:space="preserve">5、</w:t>
      </w:r>
      <w:r>
        <w:rPr>
          <w:rFonts w:hint="eastAsia" w:ascii="宋体" w:hAnsi="宋体" w:cs="宋体"/>
          <w:bCs/>
          <w:color w:val="auto"/>
          <w:szCs w:val="21"/>
          <w:highlight w:val="none"/>
        </w:rPr>
        <w:t xml:space="preserve">中标供应商需具有专业维护</w:t>
      </w:r>
      <w:r>
        <w:rPr>
          <w:rFonts w:hint="eastAsia" w:ascii="宋体" w:hAnsi="宋体" w:cs="宋体"/>
          <w:bCs/>
          <w:color w:val="auto"/>
          <w:szCs w:val="21"/>
          <w:highlight w:val="none"/>
          <w:lang w:val="en-US" w:eastAsia="zh-CN"/>
        </w:rPr>
        <w:t xml:space="preserve">能力，</w:t>
      </w:r>
      <w:r>
        <w:rPr>
          <w:rFonts w:hint="eastAsia" w:ascii="宋体" w:hAnsi="宋体" w:cs="宋体"/>
          <w:bCs/>
          <w:color w:val="auto"/>
          <w:szCs w:val="21"/>
          <w:highlight w:val="none"/>
        </w:rPr>
        <w:t xml:space="preserve">具备售后服务人员，具备相关专业维修工具、设备</w:t>
      </w:r>
      <w:r>
        <w:rPr>
          <w:rFonts w:hint="eastAsia" w:ascii="宋体" w:hAnsi="宋体" w:cs="宋体"/>
          <w:bCs/>
          <w:color w:val="auto"/>
          <w:szCs w:val="21"/>
          <w:highlight w:val="none"/>
          <w:lang w:val="en-US" w:eastAsia="zh-CN"/>
        </w:rPr>
        <w:t xml:space="preserve">等</w:t>
      </w:r>
      <w:r>
        <w:rPr>
          <w:rFonts w:hint="eastAsia" w:ascii="宋体" w:hAnsi="宋体" w:cs="宋体"/>
          <w:bCs/>
          <w:color w:val="auto"/>
          <w:szCs w:val="21"/>
          <w:highlight w:val="none"/>
        </w:rPr>
        <w:t xml:space="preserve">。提供全方位、有效而及时的售后服务和技术支持。</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6、投标人在维护时必须配有不少于5人的专业维修队伍，配备专车，每月不低于1次至监控中心进行日常检查、维护，发现并解决故障问题。</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iCs/>
          <w:color w:val="auto"/>
          <w:szCs w:val="21"/>
          <w:highlight w:val="none"/>
        </w:rPr>
        <w:t xml:space="preserve">质保要求：</w:t>
      </w:r>
      <w:r>
        <w:rPr>
          <w:rFonts w:hint="eastAsia" w:ascii="宋体" w:hAnsi="宋体" w:cs="宋体"/>
          <w:bCs/>
          <w:iCs/>
          <w:color w:val="auto"/>
          <w:szCs w:val="21"/>
          <w:highlight w:val="none"/>
        </w:rPr>
        <w:t xml:space="preserve">免费质保期至少</w:t>
      </w:r>
      <w:r>
        <w:rPr>
          <w:rFonts w:hint="eastAsia" w:ascii="宋体" w:hAnsi="宋体" w:cs="宋体"/>
          <w:bCs/>
          <w:iCs/>
          <w:color w:val="auto"/>
          <w:szCs w:val="21"/>
          <w:highlight w:val="none"/>
          <w:u w:val="single"/>
        </w:rPr>
        <w:t xml:space="preserve">五</w:t>
      </w:r>
      <w:r>
        <w:rPr>
          <w:rFonts w:hint="eastAsia" w:ascii="宋体" w:hAnsi="宋体" w:cs="宋体"/>
          <w:bCs/>
          <w:iCs/>
          <w:color w:val="auto"/>
          <w:szCs w:val="21"/>
          <w:highlight w:val="none"/>
        </w:rPr>
        <w:t xml:space="preserve">年，自本项目验收合格之日起计算。</w:t>
      </w:r>
      <w:r>
        <w:rPr>
          <w:rFonts w:hint="eastAsia" w:ascii="宋体" w:hAnsi="宋体" w:cs="宋体"/>
          <w:color w:val="auto"/>
          <w:szCs w:val="21"/>
          <w:highlight w:val="none"/>
        </w:rPr>
        <w:t xml:space="preserve">在保修期内，应成立客户服务队伍，提供良好的维护服务，确保本项目范围内的硬件和软件能够正常使用。提供7×24小时的技术支持响应，在出现问题时中标人接到通知后必须派技术人员当天赶到现场检查处理。</w:t>
      </w:r>
      <w:r>
        <w:rPr>
          <w:rFonts w:hint="eastAsia" w:ascii="宋体" w:hAnsi="宋体" w:cs="宋体"/>
          <w:color w:val="auto"/>
          <w:highlight w:val="none"/>
        </w:rPr>
        <w:t xml:space="preserve">因特殊原因无法完成维修的，作好记录并与报修人另行预定时间解决，</w:t>
      </w:r>
      <w:r>
        <w:rPr>
          <w:rFonts w:hint="eastAsia" w:ascii="宋体" w:hAnsi="宋体" w:cs="宋体"/>
          <w:bCs/>
          <w:color w:val="auto"/>
          <w:szCs w:val="21"/>
          <w:highlight w:val="none"/>
        </w:rPr>
        <w:t xml:space="preserve">具体</w:t>
      </w:r>
      <w:r>
        <w:rPr>
          <w:rFonts w:hint="eastAsia" w:ascii="宋体" w:hAnsi="宋体" w:cs="宋体"/>
          <w:color w:val="auto"/>
          <w:szCs w:val="21"/>
          <w:highlight w:val="none"/>
        </w:rPr>
        <w:t xml:space="preserve">投标人在投标响应文件中提供相关方案及承诺。</w:t>
      </w:r>
      <w:r/>
    </w:p>
    <w:p>
      <w:pPr>
        <w:ind w:firstLine="420"/>
        <w:jc w:val="left"/>
        <w:spacing w:line="360" w:lineRule="auto"/>
        <w:rPr>
          <w:rFonts w:asciiTheme="minorEastAsia" w:hAnsiTheme="minorEastAsia" w:eastAsiaTheme="minorEastAsia" w:cstheme="minorEastAsia"/>
          <w:color w:val="auto"/>
          <w:sz w:val="24"/>
          <w:szCs w:val="24"/>
          <w:highlight w:val="none"/>
        </w:rPr>
      </w:pPr>
      <w:r>
        <w:rPr>
          <w:rFonts w:hint="eastAsia" w:ascii="宋体" w:hAnsi="宋体" w:cs="宋体"/>
          <w:bCs/>
          <w:color w:val="auto"/>
          <w:szCs w:val="21"/>
          <w:highlight w:val="none"/>
        </w:rPr>
        <w:t xml:space="preserve">8、中标供应商需对招标人的技术人员、维护人员及操作用户进行全面培训，培训方式为现场培训，内容包括软件运维管理、平台管理、用户管理、日志管理、数据备份等等。培训讲师需为相关产品的原厂技术人员，培训次数不少于2次（可以在一年内分开进行）。所有培训费用由中标供应商承担。</w:t>
      </w:r>
      <w:bookmarkEnd w:id="52"/>
      <w:r/>
      <w:r/>
    </w:p>
    <w:p>
      <w:pPr>
        <w:pStyle w:val="1043"/>
        <w:numPr>
          <w:ilvl w:val="1"/>
          <w:numId w:val="0"/>
        </w:numPr>
        <w:ind w:firstLine="422"/>
        <w:jc w:val="left"/>
        <w:spacing w:before="120" w:after="0" w:line="280" w:lineRule="exact"/>
        <w:rPr>
          <w:rFonts w:ascii="宋体" w:hAnsi="宋体" w:eastAsia="宋体" w:cs="宋体"/>
          <w:b/>
          <w:bCs/>
          <w:color w:val="auto"/>
          <w:sz w:val="21"/>
          <w:szCs w:val="21"/>
          <w:highlight w:val="none"/>
        </w:rPr>
      </w:pPr>
      <w:r/>
      <w:bookmarkStart w:id="60" w:name="_Toc497133123"/>
      <w:r>
        <w:rPr>
          <w:rFonts w:hint="eastAsia" w:ascii="宋体" w:hAnsi="宋体" w:eastAsia="宋体" w:cs="宋体"/>
          <w:b/>
          <w:bCs/>
          <w:color w:val="auto"/>
          <w:sz w:val="21"/>
          <w:szCs w:val="21"/>
          <w:highlight w:val="none"/>
        </w:rPr>
        <w:t xml:space="preserve">七、其他要求</w:t>
      </w:r>
      <w:r/>
    </w:p>
    <w:p>
      <w:pPr>
        <w:ind w:firstLine="482"/>
        <w:spacing w:before="120" w:line="360" w:lineRule="auto"/>
        <w:rPr>
          <w:bCs/>
          <w:iCs/>
          <w:color w:val="auto"/>
          <w:szCs w:val="21"/>
          <w:highlight w:val="none"/>
        </w:rPr>
      </w:pPr>
      <w:r>
        <w:rPr>
          <w:rFonts w:hint="eastAsia"/>
          <w:bCs/>
          <w:iCs/>
          <w:color w:val="auto"/>
          <w:szCs w:val="21"/>
          <w:highlight w:val="none"/>
        </w:rPr>
        <w:t xml:space="preserve">1、严格执行政府采购关于支持节能产品、环境标</w:t>
      </w:r>
      <w:r>
        <w:rPr>
          <w:rFonts w:hint="eastAsia"/>
          <w:bCs/>
          <w:iCs/>
          <w:color w:val="auto"/>
          <w:szCs w:val="21"/>
          <w:highlight w:val="none"/>
        </w:rPr>
        <w:t xml:space="preserve">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本项目节能产品：</w:t>
      </w:r>
      <w:r>
        <w:rPr>
          <w:rFonts w:hint="eastAsia"/>
          <w:b/>
          <w:bCs/>
          <w:iCs/>
          <w:color w:val="auto"/>
          <w:szCs w:val="21"/>
          <w:highlight w:val="none"/>
        </w:rPr>
        <w:t xml:space="preserve">无。</w:t>
      </w:r>
      <w:r/>
    </w:p>
    <w:p>
      <w:pPr>
        <w:ind w:firstLine="482"/>
        <w:spacing w:before="120" w:line="360" w:lineRule="auto"/>
        <w:rPr>
          <w:rFonts w:hint="eastAsia"/>
          <w:bCs/>
          <w:iCs/>
          <w:color w:val="auto"/>
          <w:szCs w:val="21"/>
          <w:highlight w:val="none"/>
        </w:rPr>
      </w:pPr>
      <w:r>
        <w:rPr>
          <w:rFonts w:hint="eastAsia"/>
          <w:bCs/>
          <w:iCs/>
          <w:color w:val="auto"/>
          <w:szCs w:val="21"/>
          <w:highlight w:val="none"/>
        </w:rPr>
        <w:t xml:space="preserve">2、供应商对于投标产品的包装应按照“财办库〔2020〕123号《关于印发《商品装政府采购需求标准（试行）》、《快递包装政府采购需求标准（试行）》的通知》”执行。</w:t>
      </w:r>
      <w:r/>
    </w:p>
    <w:p>
      <w:pPr>
        <w:pStyle w:val="1043"/>
        <w:numPr>
          <w:ilvl w:val="1"/>
          <w:numId w:val="0"/>
        </w:numPr>
        <w:rPr>
          <w:rFonts w:hint="eastAsia"/>
          <w:bCs/>
          <w:iCs/>
          <w:color w:val="auto"/>
          <w:szCs w:val="21"/>
          <w:highlight w:val="none"/>
        </w:rPr>
      </w:pPr>
      <w:r>
        <w:rPr>
          <w:rFonts w:hint="eastAsia"/>
          <w:bCs/>
          <w:iCs/>
          <w:color w:val="auto"/>
          <w:szCs w:val="21"/>
          <w:highlight w:val="none"/>
        </w:rPr>
      </w:r>
      <w:r/>
    </w:p>
    <w:p>
      <w:pPr>
        <w:rPr>
          <w:rFonts w:hint="eastAsia"/>
          <w:bCs/>
          <w:iCs/>
          <w:color w:val="auto"/>
          <w:szCs w:val="21"/>
          <w:highlight w:val="none"/>
        </w:rPr>
      </w:pPr>
      <w:r>
        <w:rPr>
          <w:rFonts w:hint="eastAsia"/>
          <w:bCs/>
          <w:iCs/>
          <w:color w:val="auto"/>
          <w:szCs w:val="21"/>
          <w:highlight w:val="none"/>
        </w:rPr>
      </w:r>
      <w:r/>
    </w:p>
    <w:p>
      <w:pPr>
        <w:rPr>
          <w:rFonts w:hint="eastAsia"/>
          <w:bCs/>
          <w:iCs/>
          <w:color w:val="auto"/>
          <w:szCs w:val="21"/>
          <w:highlight w:val="none"/>
        </w:rPr>
      </w:pPr>
      <w:r>
        <w:rPr>
          <w:rFonts w:hint="eastAsia"/>
          <w:bCs/>
          <w:iCs/>
          <w:color w:val="auto"/>
          <w:szCs w:val="21"/>
          <w:highlight w:val="none"/>
        </w:rPr>
      </w:r>
      <w:r/>
    </w:p>
    <w:p>
      <w:pPr>
        <w:pStyle w:val="1043"/>
        <w:numPr>
          <w:ilvl w:val="1"/>
          <w:numId w:val="0"/>
        </w:numPr>
        <w:rPr>
          <w:rFonts w:hint="eastAsia"/>
        </w:rPr>
      </w:pPr>
      <w:r>
        <w:rPr>
          <w:rFonts w:hint="eastAsia"/>
        </w:rPr>
      </w:r>
      <w:r/>
    </w:p>
    <w:p>
      <w:pPr>
        <w:rPr>
          <w:rFonts w:hint="eastAsia"/>
          <w:bCs/>
          <w:iCs/>
          <w:color w:val="auto"/>
          <w:szCs w:val="21"/>
          <w:highlight w:val="none"/>
        </w:rPr>
      </w:pPr>
      <w:r>
        <w:rPr>
          <w:rFonts w:hint="eastAsia"/>
          <w:bCs/>
          <w:iCs/>
          <w:color w:val="auto"/>
          <w:szCs w:val="21"/>
          <w:highlight w:val="none"/>
        </w:rPr>
      </w:r>
      <w:r/>
    </w:p>
    <w:p>
      <w:pPr>
        <w:rPr>
          <w:rFonts w:hint="eastAsia"/>
          <w:bCs/>
          <w:iCs/>
          <w:color w:val="auto"/>
          <w:szCs w:val="21"/>
          <w:highlight w:val="none"/>
        </w:rPr>
      </w:pPr>
      <w:r>
        <w:rPr>
          <w:rFonts w:hint="eastAsia"/>
          <w:bCs/>
          <w:iCs/>
          <w:color w:val="auto"/>
          <w:szCs w:val="21"/>
          <w:highlight w:val="none"/>
        </w:rPr>
      </w:r>
      <w:r/>
    </w:p>
    <w:p>
      <w:pPr>
        <w:pStyle w:val="1043"/>
        <w:numPr>
          <w:ilvl w:val="1"/>
          <w:numId w:val="0"/>
        </w:numPr>
        <w:rPr>
          <w:rFonts w:hint="eastAsia"/>
        </w:rPr>
      </w:pPr>
      <w:r>
        <w:rPr>
          <w:rFonts w:hint="eastAsia"/>
        </w:rPr>
      </w:r>
      <w:r/>
    </w:p>
    <w:p>
      <w:pPr>
        <w:pStyle w:val="1043"/>
        <w:numPr>
          <w:ilvl w:val="1"/>
          <w:numId w:val="0"/>
        </w:numPr>
        <w:rPr>
          <w:rFonts w:hint="eastAsia"/>
        </w:rPr>
      </w:pPr>
      <w:r>
        <w:rPr>
          <w:rFonts w:hint="eastAsia"/>
        </w:rPr>
      </w:r>
      <w:r/>
    </w:p>
    <w:p>
      <w:pPr>
        <w:rPr>
          <w:rFonts w:hint="eastAsia"/>
          <w:bCs/>
          <w:iCs/>
          <w:color w:val="auto"/>
          <w:szCs w:val="21"/>
          <w:highlight w:val="none"/>
        </w:rPr>
      </w:pPr>
      <w:r>
        <w:rPr>
          <w:rFonts w:hint="eastAsia"/>
          <w:bCs/>
          <w:iCs/>
          <w:color w:val="auto"/>
          <w:szCs w:val="21"/>
          <w:highlight w:val="none"/>
        </w:rPr>
      </w:r>
      <w:r/>
    </w:p>
    <w:p>
      <w:pPr>
        <w:pStyle w:val="1043"/>
        <w:numPr>
          <w:ilvl w:val="1"/>
          <w:numId w:val="0"/>
        </w:numPr>
        <w:rPr>
          <w:rFonts w:hint="eastAsia"/>
        </w:rPr>
      </w:pPr>
      <w:r>
        <w:rPr>
          <w:rFonts w:hint="eastAsia"/>
        </w:rPr>
      </w:r>
      <w:r/>
    </w:p>
    <w:p>
      <w:pPr>
        <w:rPr>
          <w:rFonts w:hint="eastAsia"/>
          <w:bCs/>
          <w:iCs/>
          <w:color w:val="auto"/>
          <w:szCs w:val="21"/>
          <w:highlight w:val="none"/>
        </w:rPr>
      </w:pPr>
      <w:r>
        <w:rPr>
          <w:rFonts w:hint="eastAsia"/>
          <w:bCs/>
          <w:iCs/>
          <w:color w:val="auto"/>
          <w:szCs w:val="21"/>
          <w:highlight w:val="none"/>
        </w:rPr>
      </w:r>
      <w:r/>
    </w:p>
    <w:p>
      <w:r/>
      <w:r/>
    </w:p>
    <w:p>
      <w:pPr>
        <w:rPr>
          <w:rFonts w:hint="eastAsia"/>
          <w:bCs/>
          <w:iCs/>
          <w:color w:val="auto"/>
          <w:szCs w:val="21"/>
          <w:highlight w:val="none"/>
        </w:rPr>
      </w:pPr>
      <w:r>
        <w:rPr>
          <w:rFonts w:hint="eastAsia"/>
          <w:bCs/>
          <w:iCs/>
          <w:color w:val="auto"/>
          <w:szCs w:val="21"/>
          <w:highlight w:val="none"/>
        </w:rPr>
      </w:r>
      <w:r/>
    </w:p>
    <w:p>
      <w:pPr>
        <w:pStyle w:val="1050"/>
        <w:jc w:val="center"/>
        <w:spacing w:before="0" w:after="0" w:line="240" w:lineRule="auto"/>
        <w:rPr>
          <w:rFonts w:ascii="宋体" w:hAnsi="宋体" w:cs="宋体"/>
          <w:color w:val="auto"/>
          <w:sz w:val="36"/>
          <w:highlight w:val="none"/>
        </w:rPr>
      </w:pPr>
      <w:r>
        <w:rPr>
          <w:rFonts w:hint="eastAsia" w:ascii="宋体" w:hAnsi="宋体" w:cs="宋体"/>
          <w:color w:val="auto"/>
          <w:sz w:val="36"/>
          <w:highlight w:val="none"/>
        </w:rPr>
        <w:t xml:space="preserve">第五章 评标方法及评标标准</w:t>
      </w:r>
      <w:r/>
    </w:p>
    <w:p>
      <w:pPr>
        <w:pStyle w:val="1053"/>
        <w:ind w:firstLine="42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053"/>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cs="宋体"/>
          <w:b/>
          <w:color w:val="auto"/>
          <w:szCs w:val="21"/>
          <w:highlight w:val="none"/>
        </w:rPr>
      </w:pPr>
      <w:r/>
      <w:bookmarkStart w:id="61" w:name="_Toc449017024"/>
      <w:r/>
      <w:bookmarkStart w:id="62" w:name="_Toc449016388"/>
      <w:r>
        <w:rPr>
          <w:rFonts w:hint="eastAsia" w:ascii="宋体" w:hAnsi="宋体" w:cs="宋体"/>
          <w:b/>
          <w:color w:val="auto"/>
          <w:szCs w:val="21"/>
          <w:highlight w:val="none"/>
        </w:rPr>
        <w:t xml:space="preserve">二、</w:t>
      </w:r>
      <w:bookmarkEnd w:id="61"/>
      <w:r/>
      <w:bookmarkEnd w:id="62"/>
      <w:r>
        <w:rPr>
          <w:rFonts w:hint="eastAsia" w:ascii="宋体" w:hAnsi="宋体" w:cs="宋体"/>
          <w:b/>
          <w:color w:val="auto"/>
          <w:szCs w:val="21"/>
          <w:highlight w:val="none"/>
        </w:rPr>
        <w:t xml:space="preserve">政府采购政策功能落实</w:t>
      </w:r>
      <w:r/>
    </w:p>
    <w:p>
      <w:pPr>
        <w:ind w:firstLine="420"/>
        <w:spacing w:line="360" w:lineRule="auto"/>
        <w:rPr>
          <w:rFonts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53"/>
        <w:ind w:left="315" w:firstLine="105"/>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5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05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53"/>
        <w:ind w:left="42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53"/>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053"/>
        <w:ind w:left="42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5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53"/>
        <w:ind w:left="420"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53"/>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053"/>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53"/>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5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53"/>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53"/>
        <w:rPr>
          <w:rFonts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1053"/>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1053"/>
        <w:ind w:firstLine="422"/>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三、评分标准</w:t>
      </w:r>
      <w:r/>
    </w:p>
    <w:tbl>
      <w:tblPr>
        <w:tblStyle w:val="10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59"/>
        <w:gridCol w:w="6763"/>
      </w:tblGrid>
      <w:tr>
        <w:trPr>
          <w:trHeight w:val="484"/>
        </w:trPr>
        <w:tc>
          <w:tcPr>
            <w:tcW w:w="1759" w:type="dxa"/>
            <w:vAlign w:val="center"/>
            <w:textDirection w:val="lrTb"/>
            <w:noWrap w:val="false"/>
          </w:tcPr>
          <w:p>
            <w:pPr>
              <w:pStyle w:val="1046"/>
              <w:jc w:val="center"/>
              <w:spacing w:beforeAutospacing="0" w:afterAutospacing="0"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项目</w:t>
            </w:r>
            <w:r/>
          </w:p>
        </w:tc>
        <w:tc>
          <w:tcPr>
            <w:tcW w:w="6763" w:type="dxa"/>
            <w:vAlign w:val="center"/>
            <w:textDirection w:val="lrTb"/>
            <w:noWrap w:val="false"/>
          </w:tcPr>
          <w:p>
            <w:pPr>
              <w:pStyle w:val="1046"/>
              <w:jc w:val="center"/>
              <w:spacing w:beforeAutospacing="0" w:afterAutospacing="0"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评分标准</w:t>
            </w:r>
            <w:r/>
          </w:p>
        </w:tc>
      </w:tr>
      <w:tr>
        <w:trPr/>
        <w:tc>
          <w:tcPr>
            <w:tcW w:w="1759" w:type="dxa"/>
            <w:vAlign w:val="center"/>
            <w:textDirection w:val="lrTb"/>
            <w:noWrap w:val="false"/>
          </w:tcPr>
          <w:p>
            <w:pPr>
              <w:pStyle w:val="1046"/>
              <w:jc w:val="center"/>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报价</w:t>
            </w:r>
            <w:r/>
          </w:p>
          <w:p>
            <w:pPr>
              <w:pStyle w:val="1046"/>
              <w:jc w:val="center"/>
              <w:spacing w:beforeAutospacing="0" w:afterAutospacing="0"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（30分）</w:t>
            </w:r>
            <w:r/>
          </w:p>
        </w:tc>
        <w:tc>
          <w:tcPr>
            <w:tcW w:w="6763" w:type="dxa"/>
            <w:vAlign w:val="center"/>
            <w:textDirection w:val="lrTb"/>
            <w:noWrap w:val="false"/>
          </w:tcPr>
          <w:p>
            <w:pPr>
              <w:pStyle w:val="1046"/>
              <w:jc w:val="both"/>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以满足招标文件要求的最低报价为评标基准价，得满分30分。</w:t>
            </w:r>
            <w:r/>
          </w:p>
          <w:p>
            <w:pPr>
              <w:pStyle w:val="1046"/>
              <w:jc w:val="both"/>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其他投标报价得分＝（评标基准价/投标报价）×30×100%（保留两位小数）</w:t>
            </w:r>
            <w:r/>
          </w:p>
          <w:p>
            <w:pPr>
              <w:pStyle w:val="1046"/>
              <w:jc w:val="both"/>
              <w:spacing w:beforeAutospacing="0" w:afterAutospacing="0"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注：若投标人的报价明显低于其他通过资格性和符合性审查的投标报价的，投标人须现场提供相关证明材料证明其报价的合理性，否则视为无效报价。</w:t>
            </w:r>
            <w:r/>
          </w:p>
        </w:tc>
      </w:tr>
      <w:tr>
        <w:trPr/>
        <w:tc>
          <w:tcPr>
            <w:tcW w:w="1759" w:type="dxa"/>
            <w:vAlign w:val="center"/>
            <w:textDirection w:val="lrTb"/>
            <w:noWrap w:val="false"/>
          </w:tcPr>
          <w:p>
            <w:pPr>
              <w:pStyle w:val="1046"/>
              <w:jc w:val="center"/>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技术性能</w:t>
            </w:r>
            <w:r/>
          </w:p>
          <w:p>
            <w:pPr>
              <w:pStyle w:val="1046"/>
              <w:jc w:val="center"/>
              <w:spacing w:beforeAutospacing="0" w:afterAutospacing="0"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（33分）</w:t>
            </w:r>
            <w:r/>
          </w:p>
        </w:tc>
        <w:tc>
          <w:tcPr>
            <w:tcW w:w="6763" w:type="dxa"/>
            <w:vAlign w:val="center"/>
            <w:textDirection w:val="lrTb"/>
            <w:noWrap w:val="false"/>
          </w:tcPr>
          <w:p>
            <w:pPr>
              <w:pStyle w:val="1046"/>
              <w:spacing w:beforeAutospacing="0" w:afterAutospacing="0" w:line="360" w:lineRule="auto"/>
              <w:widowControl/>
              <w:tabs>
                <w:tab w:val="left" w:pos="917" w:leader="none"/>
                <w:tab w:val="left" w:pos="1833" w:leader="none"/>
                <w:tab w:val="left" w:pos="2750" w:leader="none"/>
                <w:tab w:val="left" w:pos="3667" w:leader="none"/>
                <w:tab w:val="left" w:pos="4584" w:leader="none"/>
                <w:tab w:val="left" w:pos="5500" w:leader="none"/>
                <w:tab w:val="left" w:pos="6417" w:leader="none"/>
                <w:tab w:val="left" w:pos="7334" w:leader="none"/>
                <w:tab w:val="left" w:pos="8250" w:leader="none"/>
                <w:tab w:val="left" w:pos="9167" w:leader="none"/>
                <w:tab w:val="left" w:pos="10084" w:leader="none"/>
                <w:tab w:val="left" w:pos="11001" w:leader="none"/>
                <w:tab w:val="left" w:pos="11917" w:leader="none"/>
                <w:tab w:val="left" w:pos="12834" w:leader="none"/>
                <w:tab w:val="left" w:pos="13751" w:leader="none"/>
                <w:tab w:val="left" w:pos="14668"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根据投标人所投产品技术参数完全满足招标文件技术参数要求得33分。</w:t>
            </w:r>
            <w:r/>
          </w:p>
          <w:p>
            <w:pPr>
              <w:pStyle w:val="1046"/>
              <w:spacing w:beforeAutospacing="0" w:afterAutospacing="0" w:line="360" w:lineRule="auto"/>
              <w:widowControl/>
              <w:tabs>
                <w:tab w:val="left" w:pos="917" w:leader="none"/>
                <w:tab w:val="left" w:pos="1833" w:leader="none"/>
                <w:tab w:val="left" w:pos="2750" w:leader="none"/>
                <w:tab w:val="left" w:pos="3667" w:leader="none"/>
                <w:tab w:val="left" w:pos="4584" w:leader="none"/>
                <w:tab w:val="left" w:pos="5500" w:leader="none"/>
                <w:tab w:val="left" w:pos="6417" w:leader="none"/>
                <w:tab w:val="left" w:pos="7334" w:leader="none"/>
                <w:tab w:val="left" w:pos="8250" w:leader="none"/>
                <w:tab w:val="left" w:pos="9167" w:leader="none"/>
                <w:tab w:val="left" w:pos="10084" w:leader="none"/>
                <w:tab w:val="left" w:pos="11001" w:leader="none"/>
                <w:tab w:val="left" w:pos="11917" w:leader="none"/>
                <w:tab w:val="left" w:pos="12834" w:leader="none"/>
                <w:tab w:val="left" w:pos="13751" w:leader="none"/>
                <w:tab w:val="left" w:pos="14668"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带“★”项为重要指标，按照招标文件要求提供证明资料，每有一项不满足扣1分。</w:t>
            </w:r>
            <w:r/>
          </w:p>
          <w:p>
            <w:pPr>
              <w:pStyle w:val="1046"/>
              <w:spacing w:beforeAutospacing="0" w:afterAutospacing="0" w:line="360" w:lineRule="auto"/>
              <w:widowControl/>
              <w:tabs>
                <w:tab w:val="left" w:pos="917" w:leader="none"/>
                <w:tab w:val="left" w:pos="1833" w:leader="none"/>
                <w:tab w:val="left" w:pos="2750" w:leader="none"/>
                <w:tab w:val="left" w:pos="3667" w:leader="none"/>
                <w:tab w:val="left" w:pos="4584" w:leader="none"/>
                <w:tab w:val="left" w:pos="5500" w:leader="none"/>
                <w:tab w:val="left" w:pos="6417" w:leader="none"/>
                <w:tab w:val="left" w:pos="7334" w:leader="none"/>
                <w:tab w:val="left" w:pos="8250" w:leader="none"/>
                <w:tab w:val="left" w:pos="9167" w:leader="none"/>
                <w:tab w:val="left" w:pos="10084" w:leader="none"/>
                <w:tab w:val="left" w:pos="11001" w:leader="none"/>
                <w:tab w:val="left" w:pos="11917" w:leader="none"/>
                <w:tab w:val="left" w:pos="12834" w:leader="none"/>
                <w:tab w:val="left" w:pos="13751" w:leader="none"/>
                <w:tab w:val="left" w:pos="14668" w:leader="none"/>
              </w:tabs>
              <w:rPr>
                <w:rFonts w:ascii="宋体" w:hAnsi="宋体" w:cs="宋体"/>
                <w:b/>
                <w:color w:val="auto"/>
                <w:sz w:val="21"/>
                <w:szCs w:val="21"/>
                <w:highlight w:val="none"/>
              </w:rPr>
            </w:pPr>
            <w:r>
              <w:rPr>
                <w:rFonts w:hint="eastAsia" w:ascii="宋体" w:hAnsi="宋体" w:cs="宋体"/>
                <w:color w:val="auto"/>
                <w:sz w:val="21"/>
                <w:szCs w:val="21"/>
                <w:highlight w:val="none"/>
              </w:rPr>
              <w:t xml:space="preserve">带“★”设备产品有具体要求的按照招标文件要求提供证明资料，以验证所投产品的符合性，不提供的视为不满足。</w:t>
            </w:r>
            <w:r/>
          </w:p>
        </w:tc>
      </w:tr>
      <w:tr>
        <w:trPr>
          <w:trHeight w:val="1230"/>
        </w:trPr>
        <w:tc>
          <w:tcPr>
            <w:tcW w:w="1759" w:type="dxa"/>
            <w:vAlign w:val="center"/>
            <w:textDirection w:val="lrTb"/>
            <w:noWrap w:val="false"/>
          </w:tcPr>
          <w:p>
            <w:pPr>
              <w:pStyle w:val="1046"/>
              <w:jc w:val="center"/>
              <w:spacing w:beforeAutospacing="0" w:afterAutospacing="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技术实施方案</w:t>
            </w:r>
            <w:r/>
          </w:p>
          <w:p>
            <w:pPr>
              <w:pStyle w:val="1046"/>
              <w:jc w:val="center"/>
              <w:spacing w:beforeAutospacing="0" w:afterAutospacing="0" w:line="360" w:lineRule="auto"/>
              <w:widowControl/>
              <w:rPr>
                <w:rFonts w:ascii="宋体" w:hAnsi="宋体" w:cs="宋体"/>
                <w:b/>
                <w:color w:val="auto"/>
                <w:sz w:val="21"/>
                <w:szCs w:val="21"/>
                <w:highlight w:val="none"/>
              </w:rPr>
            </w:pPr>
            <w:r>
              <w:rPr>
                <w:rFonts w:hint="eastAsia" w:ascii="宋体" w:hAnsi="宋体" w:cs="宋体"/>
                <w:color w:val="auto"/>
                <w:sz w:val="21"/>
                <w:szCs w:val="21"/>
                <w:highlight w:val="none"/>
              </w:rPr>
              <w:t xml:space="preserve">（15分）</w:t>
            </w:r>
            <w:r/>
          </w:p>
        </w:tc>
        <w:tc>
          <w:tcPr>
            <w:tcW w:w="6763" w:type="dxa"/>
            <w:vAlign w:val="center"/>
            <w:textDirection w:val="lrTb"/>
            <w:noWrap w:val="false"/>
          </w:tcPr>
          <w:p>
            <w:pPr>
              <w:pStyle w:val="1046"/>
              <w:jc w:val="both"/>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1、技术实施方案：优于招标文件要求的得5分，符合招标文件要求的得3分、不符合要求或未提供的不得分；</w:t>
            </w:r>
            <w:r/>
          </w:p>
          <w:p>
            <w:pPr>
              <w:pStyle w:val="1046"/>
              <w:jc w:val="both"/>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2、安装建设方案：优于招标文件要求的得5分，符合招标文件要求的得3分、不符合要求或未提供的不得分；</w:t>
            </w:r>
            <w:r/>
          </w:p>
          <w:p>
            <w:pPr>
              <w:pStyle w:val="1046"/>
              <w:jc w:val="both"/>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3、投标人需提供针对本项目提供合理的联网</w:t>
            </w:r>
            <w:r>
              <w:rPr>
                <w:rFonts w:hint="eastAsia" w:ascii="宋体" w:hAnsi="宋体" w:cs="宋体"/>
                <w:color w:val="auto"/>
                <w:sz w:val="21"/>
                <w:szCs w:val="21"/>
                <w:highlight w:val="none"/>
                <w:lang w:val="en-US" w:eastAsia="zh-CN"/>
              </w:rPr>
              <w:t xml:space="preserve">运维服务</w:t>
            </w:r>
            <w:r>
              <w:rPr>
                <w:rFonts w:hint="eastAsia" w:ascii="宋体" w:hAnsi="宋体" w:cs="宋体"/>
                <w:color w:val="auto"/>
                <w:sz w:val="21"/>
                <w:szCs w:val="21"/>
                <w:highlight w:val="none"/>
              </w:rPr>
              <w:t xml:space="preserve">方案：优于招标文件要求的得5分，符合招标文件要求的得3分、不符合要求或未提供的不得分。</w:t>
            </w:r>
            <w:r/>
          </w:p>
        </w:tc>
      </w:tr>
      <w:tr>
        <w:trPr>
          <w:trHeight w:val="4881"/>
        </w:trPr>
        <w:tc>
          <w:tcPr>
            <w:tcW w:w="1759" w:type="dxa"/>
            <w:vAlign w:val="center"/>
            <w:textDirection w:val="lrTb"/>
            <w:noWrap w:val="false"/>
          </w:tcPr>
          <w:p>
            <w:pPr>
              <w:pStyle w:val="1046"/>
              <w:jc w:val="center"/>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综合实力</w:t>
            </w:r>
            <w:r/>
          </w:p>
          <w:p>
            <w:pPr>
              <w:pStyle w:val="1046"/>
              <w:jc w:val="center"/>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（11分）</w:t>
            </w:r>
            <w:r/>
          </w:p>
          <w:p>
            <w:pPr>
              <w:pStyle w:val="1046"/>
              <w:jc w:val="center"/>
              <w:spacing w:beforeAutospacing="0" w:afterAutospacing="0"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6763" w:type="dxa"/>
            <w:vAlign w:val="center"/>
            <w:textDirection w:val="lrTb"/>
            <w:noWrap w:val="false"/>
          </w:tcPr>
          <w:p>
            <w:pPr>
              <w:pStyle w:val="1046"/>
              <w:spacing w:beforeAutospacing="0" w:afterAutospacing="0" w:line="360" w:lineRule="auto"/>
              <w:widowControl/>
              <w:tabs>
                <w:tab w:val="left" w:pos="917" w:leader="none"/>
                <w:tab w:val="left" w:pos="1833" w:leader="none"/>
                <w:tab w:val="left" w:pos="2750" w:leader="none"/>
                <w:tab w:val="left" w:pos="3667" w:leader="none"/>
                <w:tab w:val="left" w:pos="4584" w:leader="none"/>
                <w:tab w:val="left" w:pos="5500" w:leader="none"/>
                <w:tab w:val="left" w:pos="6417" w:leader="none"/>
                <w:tab w:val="left" w:pos="7334" w:leader="none"/>
                <w:tab w:val="left" w:pos="8250" w:leader="none"/>
                <w:tab w:val="left" w:pos="9167" w:leader="none"/>
                <w:tab w:val="left" w:pos="10084" w:leader="none"/>
                <w:tab w:val="left" w:pos="11001" w:leader="none"/>
                <w:tab w:val="left" w:pos="11917" w:leader="none"/>
                <w:tab w:val="left" w:pos="12834" w:leader="none"/>
                <w:tab w:val="left" w:pos="13751" w:leader="none"/>
                <w:tab w:val="left" w:pos="14668"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1、投标人具有信息安全管理体系认证得1分；</w:t>
            </w:r>
            <w:r>
              <w:rPr>
                <w:rFonts w:hint="eastAsia" w:ascii="宋体" w:hAnsi="宋体" w:cs="宋体"/>
                <w:color w:val="auto"/>
                <w:sz w:val="21"/>
                <w:szCs w:val="21"/>
                <w:highlight w:val="none"/>
                <w:lang w:val="en-US" w:eastAsia="zh-CN"/>
              </w:rPr>
              <w:t xml:space="preserve">（提供证书原件扫描上传）</w:t>
            </w:r>
            <w:r/>
          </w:p>
          <w:p>
            <w:pPr>
              <w:pStyle w:val="1046"/>
              <w:spacing w:beforeAutospacing="0" w:afterAutospacing="0" w:line="360" w:lineRule="auto"/>
              <w:widowControl/>
              <w:tabs>
                <w:tab w:val="left" w:pos="917" w:leader="none"/>
                <w:tab w:val="left" w:pos="1833" w:leader="none"/>
                <w:tab w:val="left" w:pos="2750" w:leader="none"/>
                <w:tab w:val="left" w:pos="3667" w:leader="none"/>
                <w:tab w:val="left" w:pos="4584" w:leader="none"/>
                <w:tab w:val="left" w:pos="5500" w:leader="none"/>
                <w:tab w:val="left" w:pos="6417" w:leader="none"/>
                <w:tab w:val="left" w:pos="7334" w:leader="none"/>
                <w:tab w:val="left" w:pos="8250" w:leader="none"/>
                <w:tab w:val="left" w:pos="9167" w:leader="none"/>
                <w:tab w:val="left" w:pos="10084" w:leader="none"/>
                <w:tab w:val="left" w:pos="11001" w:leader="none"/>
                <w:tab w:val="left" w:pos="11917" w:leader="none"/>
                <w:tab w:val="left" w:pos="12834" w:leader="none"/>
                <w:tab w:val="left" w:pos="13751" w:leader="none"/>
                <w:tab w:val="left" w:pos="14668" w:leader="none"/>
              </w:tabs>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具有信息系统建设和服务能力评估证书五级得2分，四级及以下得1分，不提供不得分；（提供证书原件扫描上传）</w:t>
            </w:r>
            <w:r/>
          </w:p>
          <w:p>
            <w:pPr>
              <w:pStyle w:val="1046"/>
              <w:spacing w:beforeAutospacing="0" w:afterAutospacing="0" w:line="360" w:lineRule="auto"/>
              <w:widowControl/>
              <w:tabs>
                <w:tab w:val="left" w:pos="917" w:leader="none"/>
                <w:tab w:val="left" w:pos="1833" w:leader="none"/>
                <w:tab w:val="left" w:pos="2750" w:leader="none"/>
                <w:tab w:val="left" w:pos="3667" w:leader="none"/>
                <w:tab w:val="left" w:pos="4584" w:leader="none"/>
                <w:tab w:val="left" w:pos="5500" w:leader="none"/>
                <w:tab w:val="left" w:pos="6417" w:leader="none"/>
                <w:tab w:val="left" w:pos="7334" w:leader="none"/>
                <w:tab w:val="left" w:pos="8250" w:leader="none"/>
                <w:tab w:val="left" w:pos="9167" w:leader="none"/>
                <w:tab w:val="left" w:pos="10084" w:leader="none"/>
                <w:tab w:val="left" w:pos="11001" w:leader="none"/>
                <w:tab w:val="left" w:pos="11917" w:leader="none"/>
                <w:tab w:val="left" w:pos="12834" w:leader="none"/>
                <w:tab w:val="left" w:pos="13751" w:leader="none"/>
                <w:tab w:val="left" w:pos="14668" w:leader="none"/>
              </w:tabs>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具有信息安全服务资质认证（安全运维服务）一级得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分，二级及以下得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分，不提供不得分；（提供证书原件扫描上传）</w:t>
            </w:r>
            <w:r/>
          </w:p>
          <w:p>
            <w:pPr>
              <w:pStyle w:val="1046"/>
              <w:spacing w:beforeAutospacing="0" w:afterAutospacing="0" w:line="360" w:lineRule="auto"/>
              <w:widowControl/>
              <w:tabs>
                <w:tab w:val="left" w:pos="917" w:leader="none"/>
                <w:tab w:val="left" w:pos="1833" w:leader="none"/>
                <w:tab w:val="left" w:pos="2750" w:leader="none"/>
                <w:tab w:val="left" w:pos="3667" w:leader="none"/>
                <w:tab w:val="left" w:pos="4584" w:leader="none"/>
                <w:tab w:val="left" w:pos="5500" w:leader="none"/>
                <w:tab w:val="left" w:pos="6417" w:leader="none"/>
                <w:tab w:val="left" w:pos="7334" w:leader="none"/>
                <w:tab w:val="left" w:pos="8250" w:leader="none"/>
                <w:tab w:val="left" w:pos="9167" w:leader="none"/>
                <w:tab w:val="left" w:pos="10084" w:leader="none"/>
                <w:tab w:val="left" w:pos="11001" w:leader="none"/>
                <w:tab w:val="left" w:pos="11917" w:leader="none"/>
                <w:tab w:val="left" w:pos="12834" w:leader="none"/>
                <w:tab w:val="left" w:pos="13751" w:leader="none"/>
                <w:tab w:val="left" w:pos="14668" w:leader="none"/>
              </w:tabs>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、投标人具有信息系统集成及服务或信息技术服务运行维护成熟度三级及以上证书的，得1分，没有不得分；（提供证书原件扫描上传）</w:t>
            </w:r>
            <w:r/>
          </w:p>
          <w:p>
            <w:pPr>
              <w:pStyle w:val="1046"/>
              <w:spacing w:beforeAutospacing="0" w:afterAutospacing="0" w:line="360" w:lineRule="auto"/>
              <w:widowControl/>
              <w:tabs>
                <w:tab w:val="left" w:pos="917" w:leader="none"/>
                <w:tab w:val="left" w:pos="1833" w:leader="none"/>
                <w:tab w:val="left" w:pos="2750" w:leader="none"/>
                <w:tab w:val="left" w:pos="3667" w:leader="none"/>
                <w:tab w:val="left" w:pos="4584" w:leader="none"/>
                <w:tab w:val="left" w:pos="5500" w:leader="none"/>
                <w:tab w:val="left" w:pos="6417" w:leader="none"/>
                <w:tab w:val="left" w:pos="7334" w:leader="none"/>
                <w:tab w:val="left" w:pos="8250" w:leader="none"/>
                <w:tab w:val="left" w:pos="9167" w:leader="none"/>
                <w:tab w:val="left" w:pos="10084" w:leader="none"/>
                <w:tab w:val="left" w:pos="11001" w:leader="none"/>
                <w:tab w:val="left" w:pos="11917" w:leader="none"/>
                <w:tab w:val="left" w:pos="12834" w:leader="none"/>
                <w:tab w:val="left" w:pos="13751" w:leader="none"/>
                <w:tab w:val="left" w:pos="14668" w:leader="none"/>
              </w:tabs>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投标人拟投入项目负责人具有信息系统项目管理师、系统规划与管理师、注册信息安全专业人员的，并能确保此人在质保期内服务于本项目售后维修的，有一个证书得1分，最高得3分（须提供承诺书、有效期内证书原件扫描件，并提供投标人近3个月内任意一月为其缴纳社保的证明材料，扫描上传）</w:t>
            </w:r>
            <w:r/>
          </w:p>
          <w:p>
            <w:pPr>
              <w:pStyle w:val="1046"/>
              <w:spacing w:beforeAutospacing="0" w:afterAutospacing="0" w:line="360" w:lineRule="auto"/>
              <w:widowControl/>
              <w:tabs>
                <w:tab w:val="left" w:pos="917" w:leader="none"/>
                <w:tab w:val="left" w:pos="1833" w:leader="none"/>
                <w:tab w:val="left" w:pos="2750" w:leader="none"/>
                <w:tab w:val="left" w:pos="3667" w:leader="none"/>
                <w:tab w:val="left" w:pos="4584" w:leader="none"/>
                <w:tab w:val="left" w:pos="5500" w:leader="none"/>
                <w:tab w:val="left" w:pos="6417" w:leader="none"/>
                <w:tab w:val="left" w:pos="7334" w:leader="none"/>
                <w:tab w:val="left" w:pos="8250" w:leader="none"/>
                <w:tab w:val="left" w:pos="9167" w:leader="none"/>
                <w:tab w:val="left" w:pos="10084" w:leader="none"/>
                <w:tab w:val="left" w:pos="11001" w:leader="none"/>
                <w:tab w:val="left" w:pos="11917" w:leader="none"/>
                <w:tab w:val="left" w:pos="12834" w:leader="none"/>
                <w:tab w:val="left" w:pos="13751" w:leader="none"/>
                <w:tab w:val="left" w:pos="14668" w:leader="none"/>
              </w:tabs>
              <w:rPr>
                <w:rFonts w:ascii="宋体" w:hAnsi="宋体" w:cs="宋体"/>
                <w:b/>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投标人拟投入的项目组成员（除项目负责人外）每有一人具有信息系统项目管理师或网络工程师的，并能确保此人在质保期内服务于本项目售后维修的，得1分，最高得2分（须提供承诺书、有效期内证书原件扫描件，并提供投标人近3个月内任意一月为其缴纳社保的证明材料，扫描上传）</w:t>
            </w:r>
            <w:r/>
          </w:p>
        </w:tc>
      </w:tr>
      <w:tr>
        <w:trPr/>
        <w:tc>
          <w:tcPr>
            <w:tcW w:w="1759" w:type="dxa"/>
            <w:vAlign w:val="center"/>
            <w:textDirection w:val="lrTb"/>
            <w:noWrap w:val="false"/>
          </w:tcPr>
          <w:p>
            <w:pPr>
              <w:pStyle w:val="1046"/>
              <w:jc w:val="center"/>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业绩</w:t>
            </w:r>
            <w:r/>
          </w:p>
          <w:p>
            <w:pPr>
              <w:pStyle w:val="1046"/>
              <w:jc w:val="center"/>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（3分）</w:t>
            </w:r>
            <w:r/>
          </w:p>
        </w:tc>
        <w:tc>
          <w:tcPr>
            <w:tcW w:w="6763" w:type="dxa"/>
            <w:vAlign w:val="center"/>
            <w:textDirection w:val="lrTb"/>
            <w:noWrap w:val="false"/>
          </w:tcPr>
          <w:p>
            <w:pPr>
              <w:pStyle w:val="1046"/>
              <w:jc w:val="both"/>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自2022年1月1日（以合同签订时间为准）以来，投标人具有类似业绩的每有一个得1分，最高得3分。（提供合同原件扫描上传）</w:t>
            </w:r>
            <w:r/>
          </w:p>
        </w:tc>
      </w:tr>
      <w:tr>
        <w:trPr/>
        <w:tc>
          <w:tcPr>
            <w:tcW w:w="1759" w:type="dxa"/>
            <w:vAlign w:val="center"/>
            <w:textDirection w:val="lrTb"/>
            <w:noWrap w:val="false"/>
          </w:tcPr>
          <w:p>
            <w:pPr>
              <w:pStyle w:val="1046"/>
              <w:jc w:val="center"/>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w:t>
            </w:r>
            <w:r/>
          </w:p>
          <w:p>
            <w:pPr>
              <w:pStyle w:val="1046"/>
              <w:jc w:val="center"/>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（8分）</w:t>
            </w:r>
            <w:r/>
          </w:p>
        </w:tc>
        <w:tc>
          <w:tcPr>
            <w:tcW w:w="6763" w:type="dxa"/>
            <w:vAlign w:val="center"/>
            <w:textDirection w:val="lrTb"/>
            <w:noWrap w:val="false"/>
          </w:tcPr>
          <w:p>
            <w:pPr>
              <w:pStyle w:val="1046"/>
              <w:jc w:val="both"/>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1、有详细、合理的培训、售后服务方案：优于招标文件要求的得5分，符合招标文件要求的得3分，不符合要求或未提供的不得分；</w:t>
            </w:r>
            <w:r/>
          </w:p>
          <w:p>
            <w:pPr>
              <w:pStyle w:val="1046"/>
              <w:jc w:val="both"/>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2、设有7*24小时故障报修受理服务机构，有故障4小时维修人员到达现场，一般故障8小时内解决排除，重大故障24小时内解决排除，优于此响应要求的得1分，其他得0分（提供承诺函，格式自</w:t>
            </w:r>
            <w:bookmarkStart w:id="77" w:name="_GoBack"/>
            <w:r/>
            <w:bookmarkEnd w:id="77"/>
            <w:r>
              <w:rPr>
                <w:rFonts w:hint="eastAsia" w:ascii="宋体" w:hAnsi="宋体" w:cs="宋体"/>
                <w:color w:val="auto"/>
                <w:sz w:val="21"/>
                <w:szCs w:val="21"/>
                <w:highlight w:val="none"/>
              </w:rPr>
              <w:t xml:space="preserve">拟）；</w:t>
            </w:r>
            <w:r/>
          </w:p>
          <w:p>
            <w:pPr>
              <w:pStyle w:val="1046"/>
              <w:jc w:val="both"/>
              <w:spacing w:beforeAutospacing="0" w:afterAutospacing="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投标人拟投入售后服务人员中具有IT服务工程师证书或IT服务项目经理的，并能确保此人在质保期内服务于本项目售后维修的，每有1人得1分，最高得2分；(提供拟服务人员投入承诺函原件，并提供人员证书原件扫描件上传，并提供投标人近三个月内任意一个月为其缴纳社保的证明材料，不提供不得分。)</w:t>
            </w:r>
            <w:bookmarkEnd w:id="60"/>
            <w:r/>
            <w:r/>
          </w:p>
        </w:tc>
      </w:tr>
    </w:tbl>
    <w:p>
      <w:pPr>
        <w:ind w:firstLine="2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2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1、评委应对以上各得分项独立评分，投标人最终得分为所有评委评分汇总的平均值。</w:t>
      </w:r>
      <w:r/>
    </w:p>
    <w:p>
      <w:pPr>
        <w:ind w:firstLine="2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2、根据《关于推动解决政府采购异常低价问题相关工作的通知》（苏财购〔2025〕62号）</w:t>
      </w:r>
      <w:r/>
    </w:p>
    <w:p>
      <w:pPr>
        <w:ind w:firstLine="2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（一）评审过程中出现下列情形之一的，评审委员会将启动异常低价投标（响应）审查程序：</w:t>
      </w:r>
      <w:r/>
    </w:p>
    <w:p>
      <w:pPr>
        <w:ind w:firstLine="2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（1）投标（响应）报价低于采购项目预算50%的，即投标（响应）报价&lt;采购项目预算×50%；</w:t>
      </w:r>
      <w:r/>
    </w:p>
    <w:p>
      <w:pPr>
        <w:ind w:firstLine="2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（2）投标（响应）报价低于采购项目最高限价45%的，即投标（响应）报价&lt;采购项目最高限价×45%；</w:t>
      </w:r>
      <w:r/>
    </w:p>
    <w:p>
      <w:pPr>
        <w:ind w:firstLine="2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（3）评审委员会认定的供应商报价过低、有可能影响产品质量或者不能诚信履约的其他情形。</w:t>
      </w:r>
      <w:r/>
    </w:p>
    <w:p>
      <w:pPr>
        <w:ind w:firstLine="2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p>
    <w:p>
      <w:pPr>
        <w:pStyle w:val="1050"/>
        <w:jc w:val="center"/>
        <w:spacing w:line="360" w:lineRule="auto"/>
        <w:rPr>
          <w:rFonts w:ascii="宋体" w:hAnsi="宋体" w:cs="宋体"/>
          <w:color w:val="auto"/>
          <w:sz w:val="36"/>
          <w:highlight w:val="none"/>
        </w:rPr>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auto"/>
          <w:sz w:val="36"/>
          <w:highlight w:val="none"/>
        </w:rPr>
      </w:r>
      <w:r/>
    </w:p>
    <w:p>
      <w:pPr>
        <w:pStyle w:val="1050"/>
        <w:jc w:val="center"/>
        <w:spacing w:line="360" w:lineRule="auto"/>
        <w:rPr>
          <w:rFonts w:ascii="宋体" w:hAnsi="宋体" w:cs="宋体"/>
          <w:color w:val="auto"/>
          <w:sz w:val="36"/>
          <w:highlight w:val="none"/>
        </w:rPr>
      </w:pPr>
      <w:r>
        <w:rPr>
          <w:rFonts w:hint="eastAsia" w:ascii="宋体" w:hAnsi="宋体" w:cs="宋体"/>
          <w:color w:val="auto"/>
          <w:sz w:val="36"/>
          <w:highlight w:val="none"/>
        </w:rPr>
        <w:t xml:space="preserve">第六章 投标文件格式 </w:t>
      </w:r>
      <w:r/>
    </w:p>
    <w:p>
      <w:pPr>
        <w:spacing w:line="360" w:lineRule="auto"/>
        <w:rPr>
          <w:rFonts w:ascii="宋体" w:hAnsi="宋体" w:cs="宋体"/>
          <w:bCs/>
          <w:color w:val="auto"/>
          <w:sz w:val="44"/>
          <w:highlight w:val="none"/>
        </w:rPr>
      </w:pPr>
      <w:r>
        <w:rPr>
          <w:rFonts w:ascii="宋体" w:hAnsi="宋体" w:cs="宋体"/>
          <w:bCs/>
          <w:color w:val="auto"/>
          <w:sz w:val="44"/>
          <w:highlight w:val="none"/>
        </w:rPr>
      </w:r>
      <w:r/>
    </w:p>
    <w:p>
      <w:pPr>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招 标 编 号：</w:t>
      </w:r>
      <w:r>
        <w:rPr>
          <w:rFonts w:hint="eastAsia" w:ascii="宋体" w:hAnsi="宋体" w:cs="宋体"/>
          <w:b/>
          <w:color w:val="auto"/>
          <w:sz w:val="36"/>
          <w:highlight w:val="none"/>
          <w:u w:val="single"/>
        </w:rPr>
        <w:t xml:space="preserve">               </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 xml:space="preserve">               </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投  标  人：</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（电子签章）</w:t>
      </w:r>
      <w:r/>
    </w:p>
    <w:p>
      <w:pPr>
        <w:jc w:val="center"/>
        <w:spacing w:line="360" w:lineRule="auto"/>
        <w:rPr>
          <w:rFonts w:ascii="宋体" w:hAnsi="宋体" w:cs="宋体"/>
          <w:b/>
          <w:bCs/>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投标主要文件目录</w:t>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开标一览表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五、分项报价表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、技术参数响应及偏离表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七、商务条款响应及偏离表</w:t>
      </w:r>
      <w:r/>
    </w:p>
    <w:p>
      <w:pPr>
        <w:ind w:firstLine="480"/>
        <w:spacing w:line="360" w:lineRule="auto"/>
        <w:rPr>
          <w:rFonts w:ascii="宋体" w:hAnsi="宋体" w:cs="宋体"/>
          <w:color w:val="auto"/>
          <w:sz w:val="36"/>
          <w:szCs w:val="36"/>
          <w:highlight w:val="none"/>
        </w:rPr>
      </w:pPr>
      <w:r>
        <w:rPr>
          <w:rFonts w:hint="eastAsia" w:ascii="宋体" w:hAnsi="宋体" w:cs="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contextualSpacing/>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contextualSpacing/>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pStyle w:val="1054"/>
        <w:numPr>
          <w:ilvl w:val="0"/>
          <w:numId w:val="0"/>
        </w:numPr>
        <w:ind w:left="284"/>
        <w:spacing w:before="240" w:after="240" w:line="360" w:lineRule="auto"/>
        <w:rPr>
          <w:rFonts w:ascii="宋体" w:hAnsi="宋体" w:cs="宋体"/>
          <w:b w:val="0"/>
          <w:color w:val="auto"/>
          <w:sz w:val="32"/>
          <w:szCs w:val="32"/>
          <w:highlight w:val="none"/>
        </w:rPr>
      </w:pPr>
      <w:r>
        <w:rPr>
          <w:rFonts w:hint="eastAsia" w:ascii="宋体" w:hAnsi="宋体" w:cs="宋体"/>
          <w:color w:val="auto"/>
          <w:sz w:val="32"/>
          <w:highlight w:val="none"/>
        </w:rPr>
        <w:t xml:space="preserve">一、资格审查响应对照表</w:t>
      </w:r>
      <w:r/>
    </w:p>
    <w:tbl>
      <w:tblPr>
        <w:tblStyle w:val="1045"/>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49"/>
        <w:gridCol w:w="1756"/>
      </w:tblGrid>
      <w:tr>
        <w:trPr>
          <w:trHeight w:val="647"/>
        </w:trPr>
        <w:tc>
          <w:tcPr>
            <w:tcW w:w="64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849"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75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419"/>
        </w:trPr>
        <w:tc>
          <w:tcPr>
            <w:gridSpan w:val="3"/>
            <w:tcW w:w="8251" w:type="dxa"/>
            <w:vAlign w:val="center"/>
            <w:textDirection w:val="lrTb"/>
            <w:noWrap w:val="false"/>
          </w:tcPr>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583"/>
        </w:trPr>
        <w:tc>
          <w:tcPr>
            <w:tcW w:w="64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5849"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p>
        </w:tc>
        <w:tc>
          <w:tcPr>
            <w:tcW w:w="1756"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849"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(税务、银行或社会保险基金管理部门出具的近三个月内任意一个月缴纳职工社会保障资金的缴款凭证或缴款证明)（投标人依法享受缓缴、免缴的提供证明材料）</w:t>
            </w:r>
            <w:r/>
          </w:p>
        </w:tc>
        <w:tc>
          <w:tcPr>
            <w:tcW w:w="175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849"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rPr>
                <w:rFonts w:hint="eastAsia" w:ascii="宋体" w:hAnsi="宋体" w:cs="宋体"/>
                <w:b/>
                <w:bCs/>
                <w:color w:val="auto"/>
                <w:szCs w:val="21"/>
                <w:highlight w:val="none"/>
              </w:rPr>
              <w:t xml:space="preserve">（投标人依法享受缓缴、免缴的提供证明材料）</w:t>
            </w:r>
            <w:r/>
          </w:p>
        </w:tc>
        <w:tc>
          <w:tcPr>
            <w:tcW w:w="175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849"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175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37"/>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849"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175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849"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175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584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75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69"/>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584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75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1"/>
        </w:trPr>
        <w:tc>
          <w:tcPr>
            <w:gridSpan w:val="3"/>
            <w:tcW w:w="825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5849"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szCs w:val="21"/>
                <w:highlight w:val="none"/>
              </w:rPr>
              <w:t xml:space="preserve">根据《政府采购促进中小企业发展管理办法》的规定，本项目对小型和微型企业、残疾人福利单位、监狱和戒毒企业提供的货物、服务给予20%的价格扣除。投标人必须提供招标文件中相应企业声明函，不符合要求或未提供的不给予价格扣除。</w:t>
            </w:r>
            <w:r/>
          </w:p>
        </w:tc>
        <w:tc>
          <w:tcPr>
            <w:tcW w:w="175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627"/>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5849"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无</w:t>
            </w:r>
            <w:r/>
          </w:p>
        </w:tc>
        <w:tc>
          <w:tcPr>
            <w:tcW w:w="175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20"/>
        </w:trPr>
        <w:tc>
          <w:tcPr>
            <w:gridSpan w:val="3"/>
            <w:tcW w:w="825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5849" w:type="dxa"/>
            <w:vAlign w:val="center"/>
            <w:textDirection w:val="lrTb"/>
            <w:noWrap w:val="false"/>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投标函</w:t>
            </w:r>
            <w:r/>
          </w:p>
        </w:tc>
        <w:tc>
          <w:tcPr>
            <w:tcW w:w="175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5849" w:type="dxa"/>
            <w:vAlign w:val="center"/>
            <w:textDirection w:val="lrTb"/>
            <w:noWrap w:val="false"/>
          </w:tcPr>
          <w:p>
            <w:pPr>
              <w:jc w:val="left"/>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75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1476"/>
        <w:spacing w:line="360" w:lineRule="auto"/>
        <w:rPr>
          <w:rFonts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highlight w:val="none"/>
        </w:rPr>
      </w:r>
      <w:r/>
    </w:p>
    <w:p>
      <w:pPr>
        <w:ind w:firstLine="1476"/>
        <w:spacing w:line="360" w:lineRule="auto"/>
        <w:rPr>
          <w:rFonts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contextualSpacing/>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ascii="宋体" w:hAnsi="宋体" w:cs="宋体"/>
          <w:bCs/>
          <w:color w:val="auto"/>
          <w:highlight w:val="none"/>
          <w:u w:val="single"/>
        </w:rPr>
      </w:pPr>
      <w:r>
        <w:rPr>
          <w:rFonts w:hint="eastAsia" w:ascii="宋体" w:hAnsi="宋体" w:cs="宋体"/>
          <w:bCs/>
          <w:color w:val="auto"/>
          <w:highlight w:val="none"/>
        </w:rPr>
        <w:t xml:space="preserve">                               法定代表人签章：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日期：    年    月   日</w:t>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color w:val="auto"/>
          <w:szCs w:val="32"/>
          <w:highlight w:val="none"/>
        </w:rPr>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hint="eastAsia" w:ascii="宋体" w:hAnsi="宋体" w:cs="宋体"/>
          <w:b/>
          <w:bCs/>
          <w:color w:val="auto"/>
          <w:highlight w:val="none"/>
        </w:rPr>
        <w:t xml:space="preserve">投标函格式</w:t>
      </w:r>
      <w:r/>
    </w:p>
    <w:p>
      <w:pPr>
        <w:pStyle w:val="1053"/>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highlight w:val="none"/>
        </w:rPr>
        <w:t xml:space="preserve">江苏志诚工程咨询管理有限公司</w:t>
      </w:r>
      <w:r/>
    </w:p>
    <w:p>
      <w:pPr>
        <w:pStyle w:val="1053"/>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53"/>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1053"/>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1053"/>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053"/>
        <w:ind w:firstLine="42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053"/>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053"/>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53"/>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53"/>
        <w:ind w:left="425" w:firstLine="105"/>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053"/>
        <w:ind w:firstLine="47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1053"/>
        <w:ind w:firstLine="47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1053"/>
        <w:ind w:firstLine="47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1053"/>
        <w:ind w:firstLine="47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1053"/>
        <w:ind w:firstLine="47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1053"/>
        <w:ind w:firstLine="47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1053"/>
        <w:ind w:firstLine="47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1053"/>
        <w:ind w:firstLine="47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1053"/>
        <w:ind w:firstLine="47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w:t>
      </w:r>
      <w:r/>
    </w:p>
    <w:p>
      <w:pPr>
        <w:pStyle w:val="1053"/>
        <w:ind w:firstLine="478"/>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pStyle w:val="1056"/>
        <w:ind w:firstLine="422"/>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法人授权书</w:t>
      </w:r>
      <w:r/>
    </w:p>
    <w:p>
      <w:pPr>
        <w:pStyle w:val="105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pStyle w:val="105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5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05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__     </w:t>
      </w:r>
      <w:r/>
    </w:p>
    <w:p>
      <w:pPr>
        <w:pStyle w:val="1056"/>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105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单位名称：____________________________________</w:t>
      </w:r>
      <w:r/>
    </w:p>
    <w:p>
      <w:pPr>
        <w:pStyle w:val="1056"/>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105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spacing w:line="360" w:lineRule="auto"/>
        <w:rPr>
          <w:rFonts w:ascii="宋体" w:hAnsi="宋体" w:cs="宋体"/>
          <w:bCs/>
          <w:color w:val="auto"/>
          <w:highlight w:val="none"/>
        </w:rPr>
      </w:pPr>
      <w:r>
        <w:rPr>
          <w:rFonts w:ascii="宋体" w:hAnsi="宋体" w:cs="宋体"/>
          <w:bCs/>
          <w:color w:val="auto"/>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20"/>
        <w:spacing w:line="360" w:lineRule="auto"/>
        <w:rPr>
          <w:rFonts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t xml:space="preserve">被授权人身份证复印件</w:t>
      </w:r>
      <w:r/>
    </w:p>
    <w:p>
      <w:pPr>
        <w:pStyle w:val="1054"/>
        <w:numPr>
          <w:ilvl w:val="0"/>
          <w:numId w:val="0"/>
        </w:num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二、符合性审查响应对照表</w:t>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tbl>
      <w:tblPr>
        <w:tblStyle w:val="1045"/>
        <w:tblW w:w="88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105"/>
      </w:tblGrid>
      <w:tr>
        <w:trPr>
          <w:trHeight w:val="882"/>
        </w:trPr>
        <w:tc>
          <w:tcPr>
            <w:tcW w:w="64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105"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1</w:t>
            </w:r>
            <w:r/>
          </w:p>
        </w:tc>
        <w:tc>
          <w:tcPr>
            <w:tcW w:w="5447"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05"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68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0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68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0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168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0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0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054"/>
        <w:numPr>
          <w:ilvl w:val="0"/>
          <w:numId w:val="0"/>
        </w:numPr>
        <w:ind w:left="284"/>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三、非实质性响应对照表</w:t>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tbl>
      <w:tblPr>
        <w:tblStyle w:val="1045"/>
        <w:tblW w:w="88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047"/>
      </w:tblGrid>
      <w:tr>
        <w:trPr>
          <w:trHeight w:val="882"/>
        </w:trPr>
        <w:tc>
          <w:tcPr>
            <w:tcW w:w="64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047"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《企业声明函》</w:t>
            </w:r>
            <w:r/>
          </w:p>
        </w:tc>
        <w:tc>
          <w:tcPr>
            <w:tcW w:w="168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4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《残疾人福利性单位声明函》</w:t>
            </w:r>
            <w:r/>
          </w:p>
        </w:tc>
        <w:tc>
          <w:tcPr>
            <w:tcW w:w="168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4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4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contextualSpacing/>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pStyle w:val="1055"/>
        <w:ind w:firstLine="422"/>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pStyle w:val="1055"/>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center"/>
        <w:spacing w:before="312" w:after="312"/>
        <w:rPr>
          <w:rFonts w:ascii="宋体" w:hAnsi="宋体" w:cs="宋体"/>
          <w:b/>
          <w:bCs/>
          <w:color w:val="auto"/>
          <w:highlight w:val="none"/>
        </w:rPr>
      </w:pPr>
      <w:r>
        <w:rPr>
          <w:rFonts w:hint="eastAsia" w:ascii="宋体" w:hAnsi="宋体" w:cs="宋体"/>
          <w:b/>
          <w:bCs/>
          <w:color w:val="auto"/>
          <w:highlight w:val="none"/>
        </w:rPr>
        <w:t xml:space="preserve">中小企业声明函（货物）</w:t>
      </w:r>
      <w:r/>
    </w:p>
    <w:p>
      <w:pPr>
        <w:ind w:firstLine="36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本公司（联合体）郑重声明，根据《政府采购促进中小企业发展管理办法》(财库[2020]46号)的规定，本公司（联合体）参加的</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采购编号为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（项目名称）           </w:t>
      </w:r>
      <w:r>
        <w:rPr>
          <w:rFonts w:hint="eastAsia" w:ascii="宋体" w:hAnsi="宋体" w:cs="宋体"/>
          <w:color w:val="auto"/>
          <w:szCs w:val="21"/>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ascii="宋体" w:hAnsi="宋体" w:cs="宋体"/>
          <w:i/>
          <w:color w:val="auto"/>
          <w:szCs w:val="21"/>
          <w:highlight w:val="none"/>
          <w:u w:val="singl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i/>
          <w:color w:val="auto"/>
          <w:szCs w:val="21"/>
          <w:highlight w:val="none"/>
        </w:rPr>
        <w:t xml:space="preserve">，</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工业</w:t>
      </w:r>
      <w:r>
        <w:rPr>
          <w:rFonts w:hint="eastAsia" w:ascii="宋体" w:hAnsi="宋体" w:cs="宋体"/>
          <w:color w:val="auto"/>
          <w:szCs w:val="21"/>
          <w:highlight w:val="none"/>
        </w:rPr>
        <w:t xml:space="preserve">行业；制造商为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 □小型企业 □微型企业）；</w:t>
      </w:r>
      <w:r/>
    </w:p>
    <w:p>
      <w:pPr>
        <w:ind w:firstLine="360"/>
        <w:spacing w:line="400" w:lineRule="exact"/>
        <w:rPr>
          <w:rFonts w:ascii="宋体" w:hAnsi="宋体" w:cs="宋体"/>
          <w:i/>
          <w:color w:val="auto"/>
          <w:szCs w:val="21"/>
          <w:highlight w:val="none"/>
          <w:u w:val="singl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（标的名称）</w:t>
      </w:r>
      <w:r>
        <w:rPr>
          <w:rFonts w:hint="eastAsia" w:ascii="宋体" w:hAnsi="宋体" w:cs="宋体"/>
          <w:i/>
          <w:color w:val="auto"/>
          <w:szCs w:val="21"/>
          <w:highlight w:val="none"/>
        </w:rPr>
        <w:t xml:space="preserve">，</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工业</w:t>
      </w:r>
      <w:r>
        <w:rPr>
          <w:rFonts w:hint="eastAsia" w:ascii="宋体" w:hAnsi="宋体" w:cs="宋体"/>
          <w:color w:val="auto"/>
          <w:szCs w:val="21"/>
          <w:highlight w:val="none"/>
        </w:rPr>
        <w:t xml:space="preserve">行业；制造商为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 □小型企业 □微型企业）；</w:t>
      </w:r>
      <w:r/>
    </w:p>
    <w:p>
      <w:pPr>
        <w:ind w:firstLine="36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36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right="720"/>
        <w:spacing w:line="400" w:lineRule="exact"/>
        <w:rPr>
          <w:rFonts w:ascii="宋体" w:hAnsi="宋体" w:cs="宋体"/>
          <w:color w:val="auto"/>
          <w:szCs w:val="21"/>
          <w:highlight w:val="none"/>
        </w:rPr>
      </w:pPr>
      <w:r>
        <w:rPr>
          <w:rFonts w:ascii="宋体" w:hAnsi="宋体" w:cs="宋体"/>
          <w:color w:val="auto"/>
          <w:szCs w:val="21"/>
          <w:highlight w:val="none"/>
        </w:rPr>
      </w:r>
      <w:r/>
    </w:p>
    <w:p>
      <w:pPr>
        <w:ind w:right="180" w:firstLine="360"/>
        <w:jc w:val="righ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企业名称（加盖CA电子公章）：</w:t>
      </w:r>
      <w:r/>
    </w:p>
    <w:p>
      <w:pPr>
        <w:ind w:right="480" w:firstLine="540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8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备注：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1.从业人员、营业收入、资产总额填报上一年度数据，无上一年度数据的新成立企业可不填报。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专门面向中小微型企业采购的项目，供应商如不提供此声明函，则不能通过资格审查；非专门面向中小微型企业采购的项目，供应商如不提供此声明函或未按要求对所有采购设备逐项填写完整，价格将不做相应扣除。</w:t>
      </w:r>
      <w:r/>
    </w:p>
    <w:p>
      <w:pPr>
        <w:ind w:firstLine="420"/>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630"/>
        <w:jc w:val="left"/>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63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630"/>
        <w:jc w:val="left"/>
        <w:spacing w:line="360" w:lineRule="auto"/>
        <w:rPr>
          <w:color w:val="auto"/>
          <w:highlight w:val="none"/>
        </w:rPr>
      </w:pPr>
      <w:r>
        <w:rPr>
          <w:rFonts w:hint="eastAsia"/>
          <w:color w:val="auto"/>
          <w:highlight w:val="none"/>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jc w:val="center"/>
        <w:rPr>
          <w:rStyle w:val="1057"/>
          <w:rFonts w:ascii="宋体" w:hAnsi="宋体" w:cs="宋体"/>
          <w:b/>
          <w:bCs/>
          <w:color w:val="auto"/>
          <w:szCs w:val="21"/>
          <w:highlight w:val="none"/>
        </w:rPr>
      </w:pPr>
      <w:r>
        <w:rPr>
          <w:rStyle w:val="1057"/>
          <w:rFonts w:hint="eastAsia" w:ascii="宋体" w:hAnsi="宋体" w:cs="宋体"/>
          <w:b/>
          <w:bCs/>
          <w:color w:val="auto"/>
          <w:szCs w:val="21"/>
          <w:highlight w:val="none"/>
        </w:rPr>
        <w:t xml:space="preserve">中小微企业划型标准</w:t>
      </w:r>
      <w:r/>
    </w:p>
    <w:p>
      <w:pPr>
        <w:pStyle w:val="1058"/>
        <w:ind w:firstLine="420"/>
        <w:spacing w:before="300" w:after="452" w:line="36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w:t>
      </w:r>
      <w:r>
        <w:rPr>
          <w:rStyle w:val="1057"/>
          <w:rFonts w:hint="eastAsia" w:ascii="宋体" w:hAnsi="宋体" w:cs="宋体"/>
          <w:b/>
          <w:bCs/>
          <w:color w:val="auto"/>
          <w:szCs w:val="21"/>
          <w:highlight w:val="none"/>
        </w:rPr>
        <w:t xml:space="preserve">中小微企业划型标准如下：</w:t>
      </w:r>
      <w:r/>
    </w:p>
    <w:tbl>
      <w:tblPr>
        <w:tblStyle w:val="1045"/>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58"/>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8"/>
              <w:ind w:firstLine="420"/>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8"/>
              <w:jc w:val="center"/>
              <w:spacing w:after="150" w:line="360" w:lineRule="auto"/>
              <w:widowControl/>
              <w:rPr>
                <w:rFonts w:ascii="宋体" w:hAnsi="宋体" w:cs="宋体"/>
                <w:b/>
                <w:bCs/>
                <w:color w:val="auto"/>
                <w:sz w:val="21"/>
                <w:szCs w:val="21"/>
                <w:highlight w:val="none"/>
              </w:rPr>
            </w:pPr>
            <w:r>
              <w:rPr>
                <w:rStyle w:val="1057"/>
                <w:rFonts w:hint="eastAsia" w:ascii="宋体" w:hAnsi="宋体" w:cs="宋体"/>
                <w:b/>
                <w:bCs/>
                <w:color w:val="auto"/>
                <w:szCs w:val="21"/>
                <w:highlight w:val="none"/>
              </w:rPr>
              <w:t xml:space="preserve">X＜10</w:t>
            </w:r>
            <w:r/>
          </w:p>
        </w:tc>
      </w:tr>
    </w:tbl>
    <w:p>
      <w:pPr>
        <w:pStyle w:val="1058"/>
        <w:ind w:firstLine="810"/>
        <w:spacing w:before="300" w:after="452" w:line="360" w:lineRule="auto"/>
        <w:widowControl/>
        <w:rPr>
          <w:rStyle w:val="1057"/>
          <w:rFonts w:ascii="宋体" w:hAnsi="宋体" w:cs="宋体"/>
          <w:b/>
          <w:bCs/>
          <w:color w:val="auto"/>
          <w:szCs w:val="21"/>
          <w:highlight w:val="none"/>
        </w:rPr>
      </w:pPr>
      <w:r>
        <w:rPr>
          <w:rStyle w:val="1057"/>
          <w:rFonts w:hint="eastAsia" w:ascii="宋体" w:hAnsi="宋体" w:cs="宋体"/>
          <w:b/>
          <w:bCs/>
          <w:color w:val="auto"/>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ascii="宋体" w:hAnsi="宋体" w:cs="宋体"/>
          <w:b/>
          <w:bCs/>
          <w:color w:val="auto"/>
          <w:highlight w:val="none"/>
        </w:rPr>
      </w:r>
      <w:r/>
    </w:p>
    <w:p>
      <w:pPr>
        <w:ind w:firstLine="2726"/>
        <w:spacing w:line="360" w:lineRule="auto"/>
        <w:rPr>
          <w:rFonts w:ascii="宋体" w:hAnsi="宋体" w:cs="宋体"/>
          <w:b/>
          <w:bCs/>
          <w:color w:val="auto"/>
          <w:highlight w:val="none"/>
        </w:rPr>
      </w:pPr>
      <w:r>
        <w:rPr>
          <w:rFonts w:hint="eastAsia" w:ascii="宋体" w:hAnsi="宋体" w:cs="宋体"/>
          <w:b/>
          <w:bCs/>
          <w:color w:val="auto"/>
          <w:highlight w:val="none"/>
        </w:rPr>
        <w:t xml:space="preserve">残疾人福利性单位声明函</w:t>
      </w:r>
      <w:r/>
    </w:p>
    <w:p>
      <w:pPr>
        <w:ind w:firstLine="624"/>
        <w:spacing w:line="360" w:lineRule="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spacing w:line="360" w:lineRule="auto"/>
        <w:tabs>
          <w:tab w:val="left" w:pos="4860" w:leader="none"/>
        </w:tabs>
        <w:rPr>
          <w:rFonts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                              日  期：</w:t>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jc w:val="center"/>
        <w:rPr>
          <w:rFonts w:ascii="宋体" w:hAnsi="宋体" w:cs="宋体"/>
          <w:color w:val="auto"/>
          <w:sz w:val="32"/>
          <w:highlight w:val="none"/>
        </w:rPr>
      </w:pPr>
      <w:r>
        <w:rPr>
          <w:rFonts w:hint="eastAsia" w:ascii="宋体" w:hAnsi="宋体" w:cs="宋体"/>
          <w:b/>
          <w:color w:val="auto"/>
          <w:sz w:val="32"/>
          <w:szCs w:val="32"/>
          <w:highlight w:val="none"/>
        </w:rPr>
        <w:br w:type="page" w:clear="all"/>
      </w:r>
      <w:bookmarkStart w:id="63" w:name="_Toc19910"/>
      <w:r/>
      <w:bookmarkStart w:id="64" w:name="_Toc25382"/>
      <w:r>
        <w:rPr>
          <w:rFonts w:hint="eastAsia" w:ascii="宋体" w:hAnsi="宋体" w:cs="宋体"/>
          <w:b/>
          <w:bCs/>
          <w:color w:val="auto"/>
          <w:sz w:val="32"/>
          <w:szCs w:val="44"/>
          <w:highlight w:val="none"/>
        </w:rPr>
        <w:t xml:space="preserve">四、开标一览表</w:t>
      </w:r>
      <w:bookmarkEnd w:id="63"/>
      <w:r/>
      <w:bookmarkEnd w:id="64"/>
      <w:r/>
      <w:r/>
    </w:p>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分包号(如有)： </w:t>
      </w:r>
      <w:r/>
    </w:p>
    <w:p>
      <w:pPr>
        <w:ind w:firstLine="480"/>
        <w:rPr>
          <w:rFonts w:ascii="宋体" w:hAnsi="宋体" w:cs="宋体"/>
          <w:color w:val="auto"/>
          <w:szCs w:val="21"/>
          <w:highlight w:val="none"/>
        </w:rPr>
      </w:pPr>
      <w:r>
        <w:rPr>
          <w:rFonts w:ascii="宋体" w:hAnsi="宋体" w:cs="宋体"/>
          <w:color w:val="auto"/>
          <w:szCs w:val="21"/>
          <w:highlight w:val="none"/>
        </w:rPr>
      </w:r>
      <w:r/>
    </w:p>
    <w:tbl>
      <w:tblPr>
        <w:tblStyle w:val="104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1059"/>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360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投标总报价</w:t>
            </w:r>
            <w:r/>
          </w:p>
        </w:tc>
      </w:tr>
      <w:tr>
        <w:trPr>
          <w:cantSplit/>
          <w:trHeight w:val="2607"/>
        </w:trPr>
        <w:tc>
          <w:tcPr>
            <w:tcW w:w="1395" w:type="pct"/>
            <w:vAlign w:val="center"/>
            <w:textDirection w:val="lrTb"/>
            <w:noWrap w:val="false"/>
          </w:tcPr>
          <w:p>
            <w:pPr>
              <w:pStyle w:val="1059"/>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604" w:type="pct"/>
            <w:vAlign w:val="center"/>
            <w:textDirection w:val="lrTb"/>
            <w:noWrap w:val="false"/>
          </w:tcPr>
          <w:p>
            <w:pPr>
              <w:pStyle w:val="1053"/>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1053"/>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1053"/>
              <w:ind w:firstLine="0"/>
              <w:spacing w:before="0" w:after="0" w:line="500" w:lineRule="exact"/>
              <w:rPr>
                <w:rFonts w:ascii="宋体" w:hAnsi="宋体" w:cs="宋体"/>
                <w:color w:val="auto"/>
                <w:sz w:val="21"/>
                <w:szCs w:val="21"/>
                <w:highlight w:val="none"/>
              </w:rPr>
            </w:pPr>
            <w:r>
              <w:rPr>
                <w:rFonts w:ascii="宋体" w:hAnsi="宋体" w:cs="宋体"/>
                <w:color w:val="auto"/>
                <w:sz w:val="21"/>
                <w:szCs w:val="21"/>
                <w:highlight w:val="none"/>
              </w:rPr>
            </w:r>
            <w:r/>
          </w:p>
        </w:tc>
      </w:tr>
    </w:tbl>
    <w:p>
      <w:pPr>
        <w:pStyle w:val="1055"/>
        <w:ind w:firstLine="64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b/>
          <w:bCs/>
          <w:color w:val="auto"/>
          <w:sz w:val="32"/>
          <w:highlight w:val="none"/>
        </w:rPr>
      </w:pPr>
      <w:r>
        <w:rPr>
          <w:rFonts w:hint="eastAsia" w:ascii="宋体" w:hAnsi="宋体" w:cs="宋体"/>
          <w:color w:val="auto"/>
          <w:sz w:val="32"/>
          <w:szCs w:val="32"/>
          <w:highlight w:val="none"/>
        </w:rPr>
        <w:br w:type="page" w:clear="all"/>
      </w:r>
      <w:r>
        <w:rPr>
          <w:rFonts w:hint="eastAsia" w:ascii="宋体" w:hAnsi="宋体" w:cs="宋体"/>
          <w:b/>
          <w:bCs/>
          <w:color w:val="auto"/>
          <w:sz w:val="32"/>
          <w:highlight w:val="none"/>
        </w:rPr>
        <w:t xml:space="preserve">五、分项报价表</w:t>
      </w:r>
      <w:r/>
    </w:p>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tbl>
      <w:tblPr>
        <w:tblStyle w:val="1045"/>
        <w:tblW w:w="107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02"/>
        <w:gridCol w:w="1249"/>
        <w:gridCol w:w="1249"/>
        <w:gridCol w:w="731"/>
        <w:gridCol w:w="1206"/>
        <w:gridCol w:w="1329"/>
        <w:gridCol w:w="997"/>
        <w:gridCol w:w="1463"/>
      </w:tblGrid>
      <w:tr>
        <w:trPr>
          <w:cantSplit/>
          <w:jc w:val="center"/>
          <w:trHeight w:val="538"/>
        </w:trPr>
        <w:tc>
          <w:tcPr>
            <w:tcW w:w="250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24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24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73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20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32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99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46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r>
      <w:tr>
        <w:trPr>
          <w:cantSplit/>
          <w:jc w:val="center"/>
          <w:trHeight w:val="313"/>
        </w:trPr>
        <w:tc>
          <w:tcPr>
            <w:tcW w:w="250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产品名称及规格、型号</w:t>
            </w:r>
            <w:r/>
          </w:p>
        </w:tc>
        <w:tc>
          <w:tcPr>
            <w:tcW w:w="124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品牌</w:t>
            </w:r>
            <w:r/>
          </w:p>
        </w:tc>
        <w:tc>
          <w:tcPr>
            <w:tcW w:w="124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数量</w:t>
            </w:r>
            <w:r/>
          </w:p>
        </w:tc>
        <w:tc>
          <w:tcPr>
            <w:tcW w:w="73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产地</w:t>
            </w:r>
            <w:r/>
          </w:p>
        </w:tc>
        <w:tc>
          <w:tcPr>
            <w:tcW w:w="120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交付期</w:t>
            </w:r>
            <w:r/>
          </w:p>
        </w:tc>
        <w:tc>
          <w:tcPr>
            <w:tcW w:w="132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W w:w="99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W w:w="146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总价</w:t>
            </w:r>
            <w:r/>
          </w:p>
        </w:tc>
      </w:tr>
      <w:tr>
        <w:trPr>
          <w:cantSplit/>
          <w:jc w:val="center"/>
          <w:trHeight w:val="906"/>
        </w:trPr>
        <w:tc>
          <w:tcPr>
            <w:tcW w:w="250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31"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0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32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97"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6"/>
        </w:trPr>
        <w:tc>
          <w:tcPr>
            <w:tcW w:w="250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31"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0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32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97"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06"/>
        </w:trPr>
        <w:tc>
          <w:tcPr>
            <w:tcW w:w="250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31"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0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32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97"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73"/>
        </w:trPr>
        <w:tc>
          <w:tcPr>
            <w:tcW w:w="2502"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731"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0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329"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997"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19"/>
        </w:trPr>
        <w:tc>
          <w:tcPr>
            <w:tcW w:w="250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W w:w="124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gridSpan w:val="5"/>
            <w:tcW w:w="5512"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6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ind w:firstLine="570"/>
        <w:spacing w:line="360" w:lineRule="auto"/>
        <w:rPr>
          <w:rFonts w:ascii="宋体" w:hAnsi="宋体" w:cs="宋体"/>
          <w:color w:val="auto"/>
          <w:szCs w:val="21"/>
          <w:highlight w:val="none"/>
        </w:rPr>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Cs w:val="21"/>
          <w:highlight w:val="none"/>
        </w:rPr>
        <w:t xml:space="preserve">备注：投标人报价时，每月投标量不得高于招标文件基准用量，投标费用采用投标量乘以基准单价，未来支付费用时，采用月度投标量乘以合同约定能源单价结算。</w:t>
      </w:r>
      <w:r/>
    </w:p>
    <w:p>
      <w:pPr>
        <w:pStyle w:val="1054"/>
        <w:numPr>
          <w:ilvl w:val="0"/>
          <w:numId w:val="0"/>
        </w:num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六、技术参数响应及偏离表</w:t>
      </w:r>
      <w:r/>
    </w:p>
    <w:tbl>
      <w:tblPr>
        <w:tblStyle w:val="1045"/>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70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10"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70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10"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70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10"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70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10"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70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10"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70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10"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70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10"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701"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5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10"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注：1、如有偏离，需在本表详细描述偏离情况；</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2、如投标人完全响应招标文件要求，可填写“无偏离”或未填写则默认投标人完全响应招标要求；</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3、行数不够，可自行添加。</w:t>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color w:val="auto"/>
          <w:sz w:val="32"/>
          <w:highlight w:val="none"/>
        </w:rPr>
      </w:pPr>
      <w:r>
        <w:rPr>
          <w:rFonts w:ascii="宋体" w:hAnsi="宋体" w:cs="宋体"/>
          <w:color w:val="auto"/>
          <w:sz w:val="32"/>
          <w:highlight w:val="none"/>
        </w:rPr>
      </w:r>
      <w:r/>
    </w:p>
    <w:p>
      <w:pPr>
        <w:spacing w:line="360" w:lineRule="auto"/>
        <w:rPr>
          <w:rFonts w:ascii="宋体" w:hAnsi="宋体" w:cs="宋体"/>
          <w:color w:val="auto"/>
          <w:sz w:val="32"/>
          <w:highlight w:val="none"/>
        </w:rPr>
      </w:pPr>
      <w:r>
        <w:rPr>
          <w:rFonts w:ascii="宋体" w:hAnsi="宋体" w:cs="宋体"/>
          <w:color w:val="auto"/>
          <w:sz w:val="32"/>
          <w:highlight w:val="none"/>
        </w:rPr>
      </w:r>
      <w:r/>
    </w:p>
    <w:p>
      <w:pPr>
        <w:jc w:val="center"/>
        <w:rPr>
          <w:rFonts w:ascii="宋体" w:hAnsi="宋体" w:cs="宋体"/>
          <w:color w:val="auto"/>
          <w:sz w:val="32"/>
          <w:highlight w:val="none"/>
        </w:rPr>
      </w:pPr>
      <w:r>
        <w:rPr>
          <w:rFonts w:hint="eastAsia" w:ascii="宋体" w:hAnsi="宋体" w:cs="宋体"/>
          <w:color w:val="auto"/>
          <w:sz w:val="32"/>
          <w:highlight w:val="none"/>
        </w:rPr>
        <w:br w:type="page" w:clear="all"/>
      </w:r>
      <w:bookmarkStart w:id="65" w:name="_Hlt26955054"/>
      <w:r/>
      <w:bookmarkEnd w:id="65"/>
      <w:r/>
      <w:bookmarkStart w:id="66" w:name="_Toc32154"/>
      <w:r/>
      <w:bookmarkStart w:id="67" w:name="_Toc16820"/>
      <w:r/>
      <w:bookmarkStart w:id="68" w:name="_Toc462564146"/>
      <w:r>
        <w:rPr>
          <w:rFonts w:hint="eastAsia" w:ascii="宋体" w:hAnsi="宋体" w:cs="宋体"/>
          <w:b/>
          <w:bCs/>
          <w:color w:val="auto"/>
          <w:sz w:val="32"/>
          <w:szCs w:val="44"/>
          <w:highlight w:val="none"/>
        </w:rPr>
        <w:t xml:space="preserve">七、商务条款响应及偏离表</w:t>
      </w:r>
      <w:bookmarkEnd w:id="66"/>
      <w:r/>
      <w:bookmarkEnd w:id="67"/>
      <w:r/>
      <w:r/>
    </w:p>
    <w:tbl>
      <w:tblPr>
        <w:tblStyle w:val="1045"/>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jc w:val="center"/>
              <w:spacing w:before="156"/>
              <w:rPr>
                <w:rFonts w:ascii="宋体" w:hAnsi="宋体" w:cs="宋体"/>
                <w:color w:val="auto"/>
                <w:szCs w:val="21"/>
                <w:highlight w:val="none"/>
              </w:rPr>
            </w:pPr>
            <w:r/>
            <w:bookmarkStart w:id="69" w:name="_Hlt26580838"/>
            <w:r/>
            <w:bookmarkEnd w:id="69"/>
            <w:r/>
            <w:bookmarkStart w:id="70" w:name="_Hlt26609391"/>
            <w:r/>
            <w:bookmarkEnd w:id="70"/>
            <w:r/>
            <w:bookmarkStart w:id="71" w:name="_Hlt26955064"/>
            <w:r/>
            <w:bookmarkEnd w:id="71"/>
            <w:r/>
            <w:bookmarkStart w:id="72" w:name="_Hlt26955056"/>
            <w:r/>
            <w:bookmarkEnd w:id="72"/>
            <w:r/>
            <w:bookmarkStart w:id="73" w:name="_Hlt26671343"/>
            <w:r/>
            <w:bookmarkEnd w:id="73"/>
            <w:r/>
            <w:bookmarkStart w:id="74" w:name="_Hlt26782999"/>
            <w:r/>
            <w:bookmarkEnd w:id="74"/>
            <w:r/>
            <w:bookmarkStart w:id="75" w:name="_Hlt24879081"/>
            <w:r/>
            <w:bookmarkEnd w:id="75"/>
            <w:r/>
            <w:bookmarkStart w:id="76" w:name="_Hlt26671372"/>
            <w:r/>
            <w:bookmarkEnd w:id="76"/>
            <w:r>
              <w:rPr>
                <w:rFonts w:hint="eastAsia" w:ascii="宋体" w:hAnsi="宋体" w:cs="宋体"/>
                <w:color w:val="auto"/>
                <w:szCs w:val="21"/>
                <w:highlight w:val="none"/>
              </w:rPr>
              <w:t xml:space="preserve">项目</w:t>
            </w:r>
            <w:r/>
          </w:p>
        </w:tc>
        <w:tc>
          <w:tcPr>
            <w:tcW w:w="2122" w:type="dxa"/>
            <w:textDirection w:val="lrTb"/>
            <w:noWrap w:val="false"/>
          </w:tcPr>
          <w:p>
            <w:pPr>
              <w:jc w:val="center"/>
              <w:spacing w:before="156"/>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1800" w:type="dxa"/>
            <w:textDirection w:val="lrTb"/>
            <w:noWrap w:val="false"/>
          </w:tcPr>
          <w:p>
            <w:pPr>
              <w:jc w:val="center"/>
              <w:spacing w:before="156"/>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61" w:type="dxa"/>
            <w:textDirection w:val="lrTb"/>
            <w:noWrap w:val="false"/>
          </w:tcPr>
          <w:p>
            <w:pPr>
              <w:jc w:val="center"/>
              <w:spacing w:before="156"/>
              <w:rPr>
                <w:rFonts w:ascii="宋体" w:hAnsi="宋体" w:cs="宋体"/>
                <w:color w:val="auto"/>
                <w:szCs w:val="21"/>
                <w:highlight w:val="none"/>
              </w:rPr>
            </w:pPr>
            <w:r>
              <w:rPr>
                <w:rFonts w:hint="eastAsia" w:ascii="宋体" w:hAnsi="宋体" w:cs="宋体"/>
                <w:color w:val="auto"/>
                <w:szCs w:val="21"/>
                <w:highlight w:val="none"/>
              </w:rPr>
              <w:t xml:space="preserve">投标人的承诺或说明</w:t>
            </w:r>
            <w:r/>
          </w:p>
        </w:tc>
      </w:tr>
      <w:tr>
        <w:trPr>
          <w:trHeight w:val="624"/>
        </w:trPr>
        <w:tc>
          <w:tcPr>
            <w:tcW w:w="1935" w:type="dxa"/>
            <w:textDirection w:val="lrTb"/>
            <w:noWrap w:val="false"/>
          </w:tcPr>
          <w:p>
            <w:pPr>
              <w:jc w:val="center"/>
              <w:spacing w:before="156"/>
              <w:rPr>
                <w:rFonts w:ascii="宋体" w:hAnsi="宋体" w:cs="宋体"/>
                <w:color w:val="auto"/>
                <w:szCs w:val="21"/>
                <w:highlight w:val="none"/>
              </w:rPr>
            </w:pPr>
            <w:r>
              <w:rPr>
                <w:rFonts w:hint="eastAsia" w:ascii="宋体" w:hAnsi="宋体" w:cs="宋体"/>
                <w:color w:val="auto"/>
                <w:szCs w:val="21"/>
                <w:highlight w:val="none"/>
              </w:rPr>
              <w:t xml:space="preserve">质保期</w:t>
            </w:r>
            <w:r/>
          </w:p>
        </w:tc>
        <w:tc>
          <w:tcPr>
            <w:tcW w:w="2122" w:type="dxa"/>
            <w:textDirection w:val="lrTb"/>
            <w:noWrap w:val="false"/>
          </w:tcPr>
          <w:p>
            <w:pPr>
              <w:jc w:val="center"/>
              <w:spacing w:before="156"/>
              <w:rPr>
                <w:rFonts w:ascii="宋体" w:hAnsi="宋体" w:cs="宋体"/>
                <w:color w:val="auto"/>
                <w:szCs w:val="21"/>
                <w:highlight w:val="none"/>
              </w:rPr>
            </w:pPr>
            <w:r>
              <w:rPr>
                <w:rFonts w:ascii="宋体" w:hAnsi="宋体" w:cs="宋体"/>
                <w:color w:val="auto"/>
                <w:szCs w:val="21"/>
                <w:highlight w:val="none"/>
              </w:rPr>
            </w:r>
            <w:r/>
          </w:p>
        </w:tc>
        <w:tc>
          <w:tcPr>
            <w:tcW w:w="1800" w:type="dxa"/>
            <w:textDirection w:val="lrTb"/>
            <w:noWrap w:val="false"/>
          </w:tcPr>
          <w:p>
            <w:pPr>
              <w:jc w:val="center"/>
              <w:spacing w:before="156"/>
              <w:rPr>
                <w:rFonts w:ascii="宋体" w:hAnsi="宋体" w:cs="宋体"/>
                <w:color w:val="auto"/>
                <w:szCs w:val="21"/>
                <w:highlight w:val="none"/>
              </w:rPr>
            </w:pPr>
            <w:r>
              <w:rPr>
                <w:rFonts w:ascii="宋体" w:hAnsi="宋体" w:cs="宋体"/>
                <w:color w:val="auto"/>
                <w:szCs w:val="21"/>
                <w:highlight w:val="none"/>
              </w:rPr>
            </w:r>
            <w:r/>
          </w:p>
        </w:tc>
        <w:tc>
          <w:tcPr>
            <w:tcW w:w="2561" w:type="dxa"/>
            <w:textDirection w:val="lrTb"/>
            <w:noWrap w:val="false"/>
          </w:tcPr>
          <w:p>
            <w:pPr>
              <w:jc w:val="center"/>
              <w:spacing w:before="156"/>
              <w:rPr>
                <w:rFonts w:ascii="宋体" w:hAnsi="宋体" w:cs="宋体"/>
                <w:color w:val="auto"/>
                <w:szCs w:val="21"/>
                <w:highlight w:val="none"/>
              </w:rPr>
            </w:pPr>
            <w:r>
              <w:rPr>
                <w:rFonts w:ascii="宋体" w:hAnsi="宋体" w:cs="宋体"/>
                <w:color w:val="auto"/>
                <w:szCs w:val="21"/>
                <w:highlight w:val="none"/>
              </w:rPr>
            </w:r>
            <w:r/>
          </w:p>
        </w:tc>
      </w:tr>
      <w:tr>
        <w:trPr>
          <w:trHeight w:val="950"/>
        </w:trPr>
        <w:tc>
          <w:tcPr>
            <w:tcW w:w="1935" w:type="dxa"/>
            <w:textDirection w:val="lrTb"/>
            <w:noWrap w:val="false"/>
          </w:tcPr>
          <w:p>
            <w:pPr>
              <w:jc w:val="center"/>
              <w:spacing w:before="156"/>
              <w:rPr>
                <w:rFonts w:ascii="宋体" w:hAnsi="宋体" w:cs="宋体"/>
                <w:color w:val="auto"/>
                <w:szCs w:val="21"/>
                <w:highlight w:val="none"/>
              </w:rPr>
            </w:pPr>
            <w:r>
              <w:rPr>
                <w:rFonts w:hint="eastAsia" w:ascii="宋体" w:hAnsi="宋体" w:cs="宋体"/>
                <w:color w:val="auto"/>
                <w:szCs w:val="21"/>
                <w:highlight w:val="none"/>
              </w:rPr>
              <w:t xml:space="preserve">售后技术服务要求</w:t>
            </w:r>
            <w:r/>
          </w:p>
        </w:tc>
        <w:tc>
          <w:tcPr>
            <w:tcW w:w="2122" w:type="dxa"/>
            <w:textDirection w:val="lrTb"/>
            <w:noWrap w:val="false"/>
          </w:tcPr>
          <w:p>
            <w:pPr>
              <w:jc w:val="center"/>
              <w:spacing w:before="156"/>
              <w:rPr>
                <w:rFonts w:ascii="宋体" w:hAnsi="宋体" w:cs="宋体"/>
                <w:color w:val="auto"/>
                <w:szCs w:val="21"/>
                <w:highlight w:val="none"/>
              </w:rPr>
            </w:pPr>
            <w:r>
              <w:rPr>
                <w:rFonts w:ascii="宋体" w:hAnsi="宋体" w:cs="宋体"/>
                <w:color w:val="auto"/>
                <w:szCs w:val="21"/>
                <w:highlight w:val="none"/>
              </w:rPr>
            </w:r>
            <w:r/>
          </w:p>
        </w:tc>
        <w:tc>
          <w:tcPr>
            <w:tcW w:w="1800" w:type="dxa"/>
            <w:textDirection w:val="lrTb"/>
            <w:noWrap w:val="false"/>
          </w:tcPr>
          <w:p>
            <w:pPr>
              <w:jc w:val="center"/>
              <w:spacing w:before="156"/>
              <w:rPr>
                <w:rFonts w:ascii="宋体" w:hAnsi="宋体" w:cs="宋体"/>
                <w:color w:val="auto"/>
                <w:szCs w:val="21"/>
                <w:highlight w:val="none"/>
              </w:rPr>
            </w:pPr>
            <w:r>
              <w:rPr>
                <w:rFonts w:ascii="宋体" w:hAnsi="宋体" w:cs="宋体"/>
                <w:color w:val="auto"/>
                <w:szCs w:val="21"/>
                <w:highlight w:val="none"/>
              </w:rPr>
            </w:r>
            <w:r/>
          </w:p>
        </w:tc>
        <w:tc>
          <w:tcPr>
            <w:tcW w:w="2561" w:type="dxa"/>
            <w:textDirection w:val="lrTb"/>
            <w:noWrap w:val="false"/>
          </w:tcPr>
          <w:p>
            <w:pPr>
              <w:jc w:val="center"/>
              <w:spacing w:before="156"/>
              <w:rPr>
                <w:rFonts w:ascii="宋体" w:hAnsi="宋体" w:cs="宋体"/>
                <w:color w:val="auto"/>
                <w:szCs w:val="21"/>
                <w:highlight w:val="none"/>
              </w:rPr>
            </w:pPr>
            <w:r>
              <w:rPr>
                <w:rFonts w:ascii="宋体" w:hAnsi="宋体" w:cs="宋体"/>
                <w:color w:val="auto"/>
                <w:szCs w:val="21"/>
                <w:highlight w:val="none"/>
              </w:rPr>
            </w:r>
            <w:r/>
          </w:p>
        </w:tc>
      </w:tr>
      <w:tr>
        <w:trPr>
          <w:trHeight w:val="717"/>
        </w:trPr>
        <w:tc>
          <w:tcPr>
            <w:tcW w:w="1935" w:type="dxa"/>
            <w:textDirection w:val="lrTb"/>
            <w:noWrap w:val="false"/>
          </w:tcPr>
          <w:p>
            <w:pPr>
              <w:jc w:val="center"/>
              <w:spacing w:before="156"/>
              <w:rPr>
                <w:rFonts w:ascii="宋体" w:hAnsi="宋体" w:cs="宋体"/>
                <w:color w:val="auto"/>
                <w:szCs w:val="21"/>
                <w:highlight w:val="none"/>
              </w:rPr>
            </w:pPr>
            <w:r>
              <w:rPr>
                <w:rFonts w:hint="eastAsia" w:ascii="宋体" w:hAnsi="宋体" w:cs="宋体"/>
                <w:color w:val="auto"/>
                <w:szCs w:val="21"/>
                <w:highlight w:val="none"/>
              </w:rPr>
              <w:t xml:space="preserve">交付时间</w:t>
            </w:r>
            <w:r/>
          </w:p>
        </w:tc>
        <w:tc>
          <w:tcPr>
            <w:tcW w:w="2122" w:type="dxa"/>
            <w:textDirection w:val="lrTb"/>
            <w:noWrap w:val="false"/>
          </w:tcPr>
          <w:p>
            <w:pPr>
              <w:jc w:val="center"/>
              <w:spacing w:before="156"/>
              <w:rPr>
                <w:rFonts w:ascii="宋体" w:hAnsi="宋体" w:cs="宋体"/>
                <w:color w:val="auto"/>
                <w:szCs w:val="21"/>
                <w:highlight w:val="none"/>
              </w:rPr>
            </w:pPr>
            <w:r>
              <w:rPr>
                <w:rFonts w:ascii="宋体" w:hAnsi="宋体" w:cs="宋体"/>
                <w:color w:val="auto"/>
                <w:szCs w:val="21"/>
                <w:highlight w:val="none"/>
              </w:rPr>
            </w:r>
            <w:r/>
          </w:p>
        </w:tc>
        <w:tc>
          <w:tcPr>
            <w:tcW w:w="1800" w:type="dxa"/>
            <w:textDirection w:val="lrTb"/>
            <w:noWrap w:val="false"/>
          </w:tcPr>
          <w:p>
            <w:pPr>
              <w:ind w:left="43"/>
              <w:jc w:val="center"/>
              <w:spacing w:before="156"/>
              <w:rPr>
                <w:rFonts w:ascii="宋体" w:hAnsi="宋体" w:cs="宋体"/>
                <w:color w:val="auto"/>
                <w:szCs w:val="21"/>
                <w:highlight w:val="none"/>
              </w:rPr>
            </w:pPr>
            <w:r>
              <w:rPr>
                <w:rFonts w:ascii="宋体" w:hAnsi="宋体" w:cs="宋体"/>
                <w:color w:val="auto"/>
                <w:szCs w:val="21"/>
                <w:highlight w:val="none"/>
              </w:rPr>
            </w:r>
            <w:r/>
          </w:p>
        </w:tc>
        <w:tc>
          <w:tcPr>
            <w:tcW w:w="2561" w:type="dxa"/>
            <w:textDirection w:val="lrTb"/>
            <w:noWrap w:val="false"/>
          </w:tcPr>
          <w:p>
            <w:pPr>
              <w:ind w:left="43"/>
              <w:jc w:val="center"/>
              <w:spacing w:before="156"/>
              <w:rPr>
                <w:rFonts w:ascii="宋体" w:hAnsi="宋体" w:cs="宋体"/>
                <w:color w:val="auto"/>
                <w:szCs w:val="21"/>
                <w:highlight w:val="none"/>
              </w:rPr>
            </w:pPr>
            <w:r>
              <w:rPr>
                <w:rFonts w:ascii="宋体" w:hAnsi="宋体" w:cs="宋体"/>
                <w:color w:val="auto"/>
                <w:szCs w:val="21"/>
                <w:highlight w:val="none"/>
              </w:rPr>
            </w:r>
            <w:r/>
          </w:p>
        </w:tc>
      </w:tr>
      <w:tr>
        <w:trPr>
          <w:trHeight w:val="586"/>
        </w:trPr>
        <w:tc>
          <w:tcPr>
            <w:tcW w:w="1935" w:type="dxa"/>
            <w:textDirection w:val="lrTb"/>
            <w:noWrap w:val="false"/>
          </w:tcPr>
          <w:p>
            <w:pPr>
              <w:jc w:val="center"/>
              <w:spacing w:before="156"/>
              <w:rPr>
                <w:rFonts w:ascii="宋体" w:hAnsi="宋体" w:cs="宋体"/>
                <w:color w:val="auto"/>
                <w:szCs w:val="21"/>
                <w:highlight w:val="none"/>
              </w:rPr>
            </w:pPr>
            <w:r>
              <w:rPr>
                <w:rFonts w:hint="eastAsia" w:ascii="宋体" w:hAnsi="宋体" w:cs="宋体"/>
                <w:color w:val="auto"/>
                <w:szCs w:val="21"/>
                <w:highlight w:val="none"/>
              </w:rPr>
              <w:t xml:space="preserve">交货方式</w:t>
            </w:r>
            <w:r/>
          </w:p>
        </w:tc>
        <w:tc>
          <w:tcPr>
            <w:tcW w:w="2122" w:type="dxa"/>
            <w:textDirection w:val="lrTb"/>
            <w:noWrap w:val="false"/>
          </w:tcPr>
          <w:p>
            <w:pPr>
              <w:spacing w:before="156"/>
              <w:rPr>
                <w:rFonts w:ascii="宋体" w:hAnsi="宋体" w:cs="宋体"/>
                <w:color w:val="auto"/>
                <w:szCs w:val="21"/>
                <w:highlight w:val="none"/>
              </w:rPr>
            </w:pPr>
            <w:r>
              <w:rPr>
                <w:rFonts w:ascii="宋体" w:hAnsi="宋体" w:cs="宋体"/>
                <w:color w:val="auto"/>
                <w:szCs w:val="21"/>
                <w:highlight w:val="none"/>
              </w:rPr>
            </w:r>
            <w:r/>
          </w:p>
        </w:tc>
        <w:tc>
          <w:tcPr>
            <w:tcW w:w="1800" w:type="dxa"/>
            <w:textDirection w:val="lrTb"/>
            <w:noWrap w:val="false"/>
          </w:tcPr>
          <w:p>
            <w:pPr>
              <w:ind w:left="43"/>
              <w:jc w:val="center"/>
              <w:spacing w:before="156"/>
              <w:rPr>
                <w:rFonts w:ascii="宋体" w:hAnsi="宋体" w:cs="宋体"/>
                <w:color w:val="auto"/>
                <w:szCs w:val="21"/>
                <w:highlight w:val="none"/>
              </w:rPr>
            </w:pPr>
            <w:r>
              <w:rPr>
                <w:rFonts w:ascii="宋体" w:hAnsi="宋体" w:cs="宋体"/>
                <w:color w:val="auto"/>
                <w:szCs w:val="21"/>
                <w:highlight w:val="none"/>
              </w:rPr>
            </w:r>
            <w:r/>
          </w:p>
        </w:tc>
        <w:tc>
          <w:tcPr>
            <w:tcW w:w="2561" w:type="dxa"/>
            <w:textDirection w:val="lrTb"/>
            <w:noWrap w:val="false"/>
          </w:tcPr>
          <w:p>
            <w:pPr>
              <w:ind w:left="43"/>
              <w:jc w:val="center"/>
              <w:spacing w:before="156"/>
              <w:rPr>
                <w:rFonts w:ascii="宋体" w:hAnsi="宋体" w:cs="宋体"/>
                <w:color w:val="auto"/>
                <w:szCs w:val="21"/>
                <w:highlight w:val="none"/>
              </w:rPr>
            </w:pPr>
            <w:r>
              <w:rPr>
                <w:rFonts w:ascii="宋体" w:hAnsi="宋体" w:cs="宋体"/>
                <w:color w:val="auto"/>
                <w:szCs w:val="21"/>
                <w:highlight w:val="none"/>
              </w:rPr>
            </w:r>
            <w:r/>
          </w:p>
        </w:tc>
      </w:tr>
      <w:tr>
        <w:trPr>
          <w:trHeight w:val="613"/>
        </w:trPr>
        <w:tc>
          <w:tcPr>
            <w:tcW w:w="1935" w:type="dxa"/>
            <w:textDirection w:val="lrTb"/>
            <w:noWrap w:val="false"/>
          </w:tcPr>
          <w:p>
            <w:pPr>
              <w:jc w:val="center"/>
              <w:spacing w:before="156"/>
              <w:rPr>
                <w:rFonts w:ascii="宋体" w:hAnsi="宋体" w:cs="宋体"/>
                <w:color w:val="auto"/>
                <w:szCs w:val="21"/>
                <w:highlight w:val="none"/>
              </w:rPr>
            </w:pPr>
            <w:r>
              <w:rPr>
                <w:rFonts w:hint="eastAsia" w:ascii="宋体" w:hAnsi="宋体" w:cs="宋体"/>
                <w:color w:val="auto"/>
                <w:szCs w:val="21"/>
                <w:highlight w:val="none"/>
              </w:rPr>
              <w:t xml:space="preserve">交货地点</w:t>
            </w:r>
            <w:r/>
          </w:p>
        </w:tc>
        <w:tc>
          <w:tcPr>
            <w:tcW w:w="2122" w:type="dxa"/>
            <w:textDirection w:val="lrTb"/>
            <w:noWrap w:val="false"/>
          </w:tcPr>
          <w:p>
            <w:pPr>
              <w:spacing w:before="156"/>
              <w:rPr>
                <w:rFonts w:ascii="宋体" w:hAnsi="宋体" w:cs="宋体"/>
                <w:color w:val="auto"/>
                <w:szCs w:val="21"/>
                <w:highlight w:val="none"/>
              </w:rPr>
            </w:pPr>
            <w:r>
              <w:rPr>
                <w:rFonts w:ascii="宋体" w:hAnsi="宋体" w:cs="宋体"/>
                <w:color w:val="auto"/>
                <w:szCs w:val="21"/>
                <w:highlight w:val="none"/>
              </w:rPr>
            </w:r>
            <w:r/>
          </w:p>
        </w:tc>
        <w:tc>
          <w:tcPr>
            <w:tcW w:w="1800" w:type="dxa"/>
            <w:textDirection w:val="lrTb"/>
            <w:noWrap w:val="false"/>
          </w:tcPr>
          <w:p>
            <w:pPr>
              <w:ind w:left="43"/>
              <w:jc w:val="center"/>
              <w:spacing w:before="156"/>
              <w:rPr>
                <w:rFonts w:ascii="宋体" w:hAnsi="宋体" w:cs="宋体"/>
                <w:color w:val="auto"/>
                <w:szCs w:val="21"/>
                <w:highlight w:val="none"/>
              </w:rPr>
            </w:pPr>
            <w:r>
              <w:rPr>
                <w:rFonts w:ascii="宋体" w:hAnsi="宋体" w:cs="宋体"/>
                <w:color w:val="auto"/>
                <w:szCs w:val="21"/>
                <w:highlight w:val="none"/>
              </w:rPr>
            </w:r>
            <w:r/>
          </w:p>
        </w:tc>
        <w:tc>
          <w:tcPr>
            <w:tcW w:w="2561" w:type="dxa"/>
            <w:textDirection w:val="lrTb"/>
            <w:noWrap w:val="false"/>
          </w:tcPr>
          <w:p>
            <w:pPr>
              <w:ind w:left="43"/>
              <w:jc w:val="center"/>
              <w:spacing w:before="156"/>
              <w:rPr>
                <w:rFonts w:ascii="宋体" w:hAnsi="宋体" w:cs="宋体"/>
                <w:color w:val="auto"/>
                <w:szCs w:val="21"/>
                <w:highlight w:val="none"/>
              </w:rPr>
            </w:pPr>
            <w:r>
              <w:rPr>
                <w:rFonts w:ascii="宋体" w:hAnsi="宋体" w:cs="宋体"/>
                <w:color w:val="auto"/>
                <w:szCs w:val="21"/>
                <w:highlight w:val="none"/>
              </w:rPr>
            </w:r>
            <w:r/>
          </w:p>
        </w:tc>
      </w:tr>
      <w:tr>
        <w:trPr>
          <w:trHeight w:val="584"/>
        </w:trPr>
        <w:tc>
          <w:tcPr>
            <w:tcW w:w="1935" w:type="dxa"/>
            <w:textDirection w:val="lrTb"/>
            <w:noWrap w:val="false"/>
          </w:tcPr>
          <w:p>
            <w:pPr>
              <w:jc w:val="center"/>
              <w:spacing w:before="156"/>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122" w:type="dxa"/>
            <w:textDirection w:val="lrTb"/>
            <w:noWrap w:val="false"/>
          </w:tcPr>
          <w:p>
            <w:pPr>
              <w:spacing w:before="156"/>
              <w:rPr>
                <w:rFonts w:ascii="宋体" w:hAnsi="宋体" w:cs="宋体"/>
                <w:color w:val="auto"/>
                <w:szCs w:val="21"/>
                <w:highlight w:val="none"/>
              </w:rPr>
            </w:pPr>
            <w:r>
              <w:rPr>
                <w:rFonts w:ascii="宋体" w:hAnsi="宋体" w:cs="宋体"/>
                <w:color w:val="auto"/>
                <w:szCs w:val="21"/>
                <w:highlight w:val="none"/>
              </w:rPr>
            </w:r>
            <w:r/>
          </w:p>
        </w:tc>
        <w:tc>
          <w:tcPr>
            <w:tcW w:w="1800" w:type="dxa"/>
            <w:textDirection w:val="lrTb"/>
            <w:noWrap w:val="false"/>
          </w:tcPr>
          <w:p>
            <w:pPr>
              <w:jc w:val="center"/>
              <w:spacing w:before="156"/>
              <w:rPr>
                <w:rFonts w:ascii="宋体" w:hAnsi="宋体" w:cs="宋体"/>
                <w:color w:val="auto"/>
                <w:szCs w:val="21"/>
                <w:highlight w:val="none"/>
              </w:rPr>
            </w:pPr>
            <w:r>
              <w:rPr>
                <w:rFonts w:ascii="宋体" w:hAnsi="宋体" w:cs="宋体"/>
                <w:color w:val="auto"/>
                <w:szCs w:val="21"/>
                <w:highlight w:val="none"/>
              </w:rPr>
            </w:r>
            <w:r/>
          </w:p>
        </w:tc>
        <w:tc>
          <w:tcPr>
            <w:tcW w:w="2561" w:type="dxa"/>
            <w:textDirection w:val="lrTb"/>
            <w:noWrap w:val="false"/>
          </w:tcPr>
          <w:p>
            <w:pPr>
              <w:jc w:val="center"/>
              <w:spacing w:before="156"/>
              <w:rPr>
                <w:rFonts w:ascii="宋体" w:hAnsi="宋体" w:cs="宋体"/>
                <w:color w:val="auto"/>
                <w:szCs w:val="21"/>
                <w:highlight w:val="none"/>
              </w:rPr>
            </w:pPr>
            <w:r>
              <w:rPr>
                <w:rFonts w:ascii="宋体" w:hAnsi="宋体" w:cs="宋体"/>
                <w:color w:val="auto"/>
                <w:szCs w:val="21"/>
                <w:highlight w:val="none"/>
              </w:rPr>
            </w:r>
            <w:r/>
          </w:p>
        </w:tc>
      </w:tr>
    </w:tbl>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p>
      <w:pPr>
        <w:pStyle w:val="1055"/>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55"/>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55"/>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55"/>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pStyle w:val="1055"/>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55"/>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55"/>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55"/>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55"/>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55"/>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55"/>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55"/>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55"/>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55"/>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55"/>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55"/>
        <w:ind w:firstLine="480"/>
        <w:spacing w:line="360" w:lineRule="auto"/>
        <w:rPr>
          <w:rFonts w:ascii="宋体" w:hAnsi="宋体" w:cs="宋体"/>
          <w:color w:val="auto"/>
          <w:sz w:val="24"/>
          <w:highlight w:val="none"/>
        </w:rPr>
      </w:pPr>
      <w:r>
        <w:rPr>
          <w:rFonts w:ascii="宋体" w:hAnsi="宋体" w:cs="宋体"/>
          <w:color w:val="auto"/>
          <w:sz w:val="24"/>
          <w:highlight w:val="none"/>
        </w:rPr>
      </w:r>
      <w:bookmarkEnd w:id="68"/>
      <w:r/>
      <w:r/>
    </w:p>
    <w:p>
      <w:pPr>
        <w:jc w:val="left"/>
        <w:spacing w:line="360" w:lineRule="auto"/>
        <w:widowControl/>
        <w:rPr>
          <w:rFonts w:ascii="宋体" w:hAnsi="宋体" w:cs="宋体"/>
          <w:b/>
          <w:color w:val="auto"/>
          <w:highlight w:val="none"/>
        </w:rPr>
      </w:pPr>
      <w:r>
        <w:rPr>
          <w:rFonts w:ascii="宋体" w:hAnsi="宋体" w:cs="宋体"/>
          <w:b/>
          <w:color w:val="auto"/>
          <w:highlight w:val="none"/>
        </w:rPr>
      </w:r>
      <w:r/>
    </w:p>
    <w:p>
      <w:pPr>
        <w:pStyle w:val="1051"/>
        <w:ind w:firstLine="480"/>
        <w:jc w:val="center"/>
        <w:rPr>
          <w:rFonts w:ascii="宋体" w:hAnsi="宋体" w:cs="宋体"/>
          <w:b/>
          <w:bCs/>
          <w:color w:val="auto"/>
          <w:sz w:val="32"/>
          <w:szCs w:val="44"/>
          <w:highlight w:val="none"/>
        </w:rPr>
      </w:pPr>
      <w:r>
        <w:rPr>
          <w:rFonts w:hint="eastAsia" w:ascii="宋体" w:hAnsi="宋体" w:cs="宋体"/>
          <w:b/>
          <w:bCs/>
          <w:color w:val="auto"/>
          <w:sz w:val="32"/>
          <w:szCs w:val="44"/>
          <w:highlight w:val="none"/>
        </w:rPr>
        <w:t xml:space="preserve">八、拟投入人员一览表</w:t>
      </w:r>
      <w:r/>
    </w:p>
    <w:tbl>
      <w:tblPr>
        <w:tblStyle w:val="10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2"/>
              <w:jc w:val="center"/>
              <w:spacing w:before="312"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743" w:type="dxa"/>
            <w:vAlign w:val="center"/>
            <w:textDirection w:val="lrTb"/>
            <w:noWrap w:val="false"/>
          </w:tcPr>
          <w:p>
            <w:pPr>
              <w:ind w:right="-2"/>
              <w:jc w:val="center"/>
              <w:spacing w:before="312" w:line="360" w:lineRule="auto"/>
              <w:rPr>
                <w:rFonts w:ascii="宋体" w:hAnsi="宋体" w:cs="宋体"/>
                <w:color w:val="auto"/>
                <w:szCs w:val="21"/>
                <w:highlight w:val="none"/>
              </w:rPr>
            </w:pPr>
            <w:r>
              <w:rPr>
                <w:rFonts w:hint="eastAsia" w:ascii="宋体" w:hAnsi="宋体" w:cs="宋体"/>
                <w:color w:val="auto"/>
                <w:szCs w:val="21"/>
                <w:highlight w:val="none"/>
              </w:rPr>
              <w:t xml:space="preserve">岗位</w:t>
            </w:r>
            <w:r/>
          </w:p>
        </w:tc>
        <w:tc>
          <w:tcPr>
            <w:tcW w:w="744" w:type="dxa"/>
            <w:vAlign w:val="center"/>
            <w:textDirection w:val="lrTb"/>
            <w:noWrap w:val="false"/>
          </w:tcPr>
          <w:p>
            <w:pPr>
              <w:ind w:right="-2"/>
              <w:jc w:val="center"/>
              <w:spacing w:before="312" w:line="360" w:lineRule="auto"/>
              <w:rPr>
                <w:rFonts w:ascii="宋体" w:hAnsi="宋体" w:cs="宋体"/>
                <w:color w:val="auto"/>
                <w:szCs w:val="21"/>
                <w:highlight w:val="none"/>
              </w:rPr>
            </w:pPr>
            <w:r>
              <w:rPr>
                <w:rFonts w:hint="eastAsia" w:ascii="宋体" w:hAnsi="宋体" w:cs="宋体"/>
                <w:color w:val="auto"/>
                <w:szCs w:val="21"/>
                <w:highlight w:val="none"/>
              </w:rPr>
              <w:t xml:space="preserve">姓 名</w:t>
            </w:r>
            <w:r/>
          </w:p>
        </w:tc>
        <w:tc>
          <w:tcPr>
            <w:tcW w:w="801" w:type="dxa"/>
            <w:vAlign w:val="center"/>
            <w:textDirection w:val="lrTb"/>
            <w:noWrap w:val="false"/>
          </w:tcPr>
          <w:p>
            <w:pPr>
              <w:ind w:right="-2"/>
              <w:jc w:val="center"/>
              <w:spacing w:before="312" w:line="360" w:lineRule="auto"/>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W w:w="727" w:type="dxa"/>
            <w:vAlign w:val="center"/>
            <w:textDirection w:val="lrTb"/>
            <w:noWrap w:val="false"/>
          </w:tcPr>
          <w:p>
            <w:pPr>
              <w:ind w:right="-2"/>
              <w:jc w:val="center"/>
              <w:spacing w:before="312" w:line="360" w:lineRule="auto"/>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W w:w="1365" w:type="dxa"/>
            <w:vAlign w:val="center"/>
            <w:textDirection w:val="lrTb"/>
            <w:noWrap w:val="false"/>
          </w:tcPr>
          <w:p>
            <w:pPr>
              <w:ind w:right="-2"/>
              <w:jc w:val="center"/>
              <w:spacing w:before="312" w:line="360" w:lineRule="auto"/>
              <w:rPr>
                <w:rFonts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855" w:type="dxa"/>
            <w:vAlign w:val="center"/>
            <w:textDirection w:val="lrTb"/>
            <w:noWrap w:val="false"/>
          </w:tcPr>
          <w:p>
            <w:pPr>
              <w:ind w:right="-2"/>
              <w:jc w:val="center"/>
              <w:spacing w:before="312" w:line="360" w:lineRule="auto"/>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tcW w:w="1573" w:type="dxa"/>
            <w:vAlign w:val="center"/>
            <w:textDirection w:val="lrTb"/>
            <w:noWrap w:val="false"/>
          </w:tcPr>
          <w:p>
            <w:pPr>
              <w:ind w:right="-2"/>
              <w:jc w:val="center"/>
              <w:spacing w:before="312" w:line="360" w:lineRule="auto"/>
              <w:rPr>
                <w:rFonts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871" w:type="dxa"/>
            <w:vAlign w:val="center"/>
            <w:textDirection w:val="lrTb"/>
            <w:noWrap w:val="false"/>
          </w:tcPr>
          <w:p>
            <w:pPr>
              <w:ind w:right="-2"/>
              <w:jc w:val="center"/>
              <w:spacing w:before="312"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73"/>
        </w:trPr>
        <w:tc>
          <w:tcPr>
            <w:tcW w:w="676"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83"/>
        </w:trPr>
        <w:tc>
          <w:tcPr>
            <w:tcW w:w="676"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主要标的信息（中标后将公示）</w:t>
      </w:r>
      <w:r/>
    </w:p>
    <w:p>
      <w:pPr>
        <w:spacing w:line="360" w:lineRule="auto"/>
        <w:rPr>
          <w:rFonts w:ascii="宋体" w:hAnsi="宋体" w:cs="宋体"/>
          <w:b/>
          <w:color w:val="auto"/>
          <w:highlight w:val="none"/>
        </w:rPr>
      </w:pPr>
      <w:r>
        <w:rPr>
          <w:rFonts w:hint="eastAsia" w:ascii="宋体" w:hAnsi="宋体" w:cs="宋体"/>
          <w:color w:val="auto"/>
          <w:highlight w:val="none"/>
        </w:rPr>
        <w:t xml:space="preserve">投标人全称：</w:t>
      </w:r>
      <w:r/>
    </w:p>
    <w:tbl>
      <w:tblPr>
        <w:tblStyle w:val="1045"/>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联合体协议（如有）</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（联合体中各供应商全称）在此达成以下协议：</w:t>
      </w:r>
      <w:r/>
    </w:p>
    <w:p>
      <w:pPr>
        <w:ind w:firstLine="64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w:t>
      </w:r>
      <w:r>
        <w:rPr>
          <w:rFonts w:hint="eastAsia" w:ascii="宋体" w:hAnsi="宋体" w:cs="宋体"/>
          <w:color w:val="auto"/>
          <w:szCs w:val="21"/>
          <w:highlight w:val="none"/>
          <w:u w:val="single"/>
        </w:rPr>
        <w:t xml:space="preserve"> （供应商1），（供应商2） ，……</w:t>
      </w:r>
      <w:r>
        <w:rPr>
          <w:rFonts w:hint="eastAsia" w:ascii="宋体" w:hAnsi="宋体" w:cs="宋体"/>
          <w:color w:val="auto"/>
          <w:szCs w:val="21"/>
          <w:highlight w:val="none"/>
        </w:rPr>
        <w:t xml:space="preserve">自愿组成联合体，参加江苏志诚工程咨询管理有限公司组织的采购编号为</w:t>
      </w:r>
      <w:r>
        <w:rPr>
          <w:rFonts w:hint="eastAsia" w:ascii="宋体" w:hAnsi="宋体" w:cs="宋体"/>
          <w:color w:val="auto"/>
          <w:szCs w:val="21"/>
          <w:highlight w:val="none"/>
          <w:u w:val="single"/>
        </w:rPr>
        <w:t xml:space="preserve">（编号全称），（项目全称）</w:t>
      </w:r>
      <w:r>
        <w:rPr>
          <w:rFonts w:hint="eastAsia" w:ascii="宋体" w:hAnsi="宋体" w:cs="宋体"/>
          <w:color w:val="auto"/>
          <w:szCs w:val="21"/>
          <w:highlight w:val="none"/>
        </w:rPr>
        <w:t xml:space="preserve">项目的政府采购活动，我联合体指定</w:t>
      </w:r>
      <w:r>
        <w:rPr>
          <w:rFonts w:hint="eastAsia" w:ascii="宋体" w:hAnsi="宋体" w:cs="宋体"/>
          <w:color w:val="auto"/>
          <w:szCs w:val="21"/>
          <w:highlight w:val="none"/>
          <w:u w:val="single"/>
        </w:rPr>
        <w:t xml:space="preserve">（供应商*）</w:t>
      </w:r>
      <w:r>
        <w:rPr>
          <w:rFonts w:hint="eastAsia" w:ascii="宋体" w:hAnsi="宋体" w:cs="宋体"/>
          <w:color w:val="auto"/>
          <w:szCs w:val="21"/>
          <w:highlight w:val="none"/>
        </w:rPr>
        <w:t xml:space="preserve">为牵头单位（牵头单位必须为联合体成员）。</w:t>
      </w:r>
      <w:r/>
    </w:p>
    <w:p>
      <w:pPr>
        <w:ind w:firstLine="64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若我们联合中标，（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3、其中</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（小型、微型企业/残疾人福利性单位/监狱企业全称）为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（小型、微型企业/残疾人福利性单位/监狱企业）企业，且我们约定该公司/单位所承担的合同金额将占本项目合同总金额的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64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4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备注：本磋商文件中要求加盖CA电子公章的地方，仅需加盖牵头单位的CA电子公章。</w:t>
      </w:r>
      <w:r/>
    </w:p>
    <w:p>
      <w:pPr>
        <w:ind w:firstLine="64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645"/>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联合体中各供应商全称（公章）：     </w:t>
      </w:r>
      <w:r/>
    </w:p>
    <w:p>
      <w:pPr>
        <w:ind w:firstLine="645"/>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w:t>
      </w:r>
      <w:r/>
    </w:p>
    <w:p>
      <w:pPr>
        <w:ind w:firstLine="645"/>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p>
      <w:pPr>
        <w:spacing w:line="360" w:lineRule="auto"/>
        <w:rPr>
          <w:rFonts w:ascii="宋体" w:hAnsi="宋体" w:cs="宋体"/>
          <w:color w:val="auto"/>
          <w:highlight w:val="none"/>
        </w:rPr>
      </w:pPr>
      <w:r>
        <w:rPr>
          <w:rFonts w:ascii="宋体" w:hAnsi="宋体" w:cs="宋体"/>
          <w:color w:val="auto"/>
          <w:highlight w:val="none"/>
        </w:rPr>
      </w:r>
      <w:r/>
    </w:p>
    <w:p>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微软雅黑">
    <w:panose1 w:val="020B05030202040202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s>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rPr>
        <w:rFonts w:hint="eastAsia" w:ascii="仿宋_GB2312" w:eastAsia="仿宋_GB2312"/>
        <w:b/>
        <w:sz w:val="24"/>
        <w:szCs w:val="24"/>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pPr>
    <w:r>
      <w:rPr>
        <w:rFonts w:hint="eastAsia"/>
        <w:spacing w:val="1"/>
      </w:rPr>
      <w:t xml:space="preserve">JSZC-321002-JSZC-G2025-0105</w:t>
    </w:r>
    <w:r>
      <w:rPr>
        <w:rFonts w:hint="eastAsia"/>
      </w:rPr>
      <w:t xml:space="preserve">                                    江苏志诚工程咨询管理有限公司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Pr>
        <w:rFonts w:hint="eastAsia"/>
      </w:rPr>
      <w:t xml:space="preserve">JSZC-321002-JSZC-G2025-0105                                    江苏志诚工程咨询管理有限公司</w:t>
    </w:r>
    <w:r/>
  </w:p>
  <w:p>
    <w:pPr>
      <w:pStyle w:val="106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Pr>
        <w:rFonts w:hint="eastAsia"/>
      </w:rPr>
      <w:t xml:space="preserve">JSZC-321002-JSZC-G2025-0105                                    江苏志诚工程咨询管理有限公司</w:t>
    </w:r>
    <w:r/>
  </w:p>
  <w:p>
    <w:pPr>
      <w:pStyle w:val="106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042"/>
      <w:isLgl w:val="false"/>
      <w:suff w:val="nothing"/>
      <w:lvlText w:val="%1、"/>
      <w:lvlJc w:val="left"/>
      <w:pPr>
        <w:ind w:left="0" w:firstLine="0"/>
      </w:pPr>
      <w:rPr>
        <w:rFonts w:hint="eastAsia"/>
      </w:rPr>
    </w:lvl>
    <w:lvl w:ilvl="1">
      <w:start w:val="1"/>
      <w:numFmt w:val="chineseCounting"/>
      <w:pStyle w:val="1043"/>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tab"/>
      <w:lvlText w:val="%1、"/>
      <w:lvlJc w:val="left"/>
      <w:pPr>
        <w:ind w:left="431" w:hanging="431"/>
      </w:pPr>
      <w:rPr>
        <w:rFonts w:cs="Times New Roman"/>
        <w:b/>
        <w:i w:val="0"/>
        <w:iCs w:val="0"/>
        <w:caps w:val="0"/>
        <w:strike w:val="0"/>
        <w:vanish w:val="0"/>
        <w:spacing w:val="0"/>
        <w:position w:val="0"/>
        <w:sz w:val="21"/>
        <w:szCs w:val="32"/>
        <w:u w:val="none"/>
        <w:vertAlign w:val="baseline"/>
      </w:rPr>
    </w:lvl>
    <w:lvl w:ilvl="1">
      <w:start w:val="1"/>
      <w:numFmt w:val="decimal"/>
      <w:pStyle w:val="1054"/>
      <w:isLgl w:val="false"/>
      <w:suff w:val="space"/>
      <w:lvlText w:val="%1.%2"/>
      <w:lvlJc w:val="left"/>
      <w:pPr>
        <w:ind w:left="851" w:hanging="567"/>
      </w:pPr>
      <w:rPr>
        <w:rFonts w:ascii="Arial" w:hAnsi="Arial" w:eastAsia="黑体"/>
        <w:b/>
        <w:i w:val="0"/>
        <w:sz w:val="28"/>
        <w:szCs w:val="28"/>
      </w:rPr>
    </w:lvl>
    <w:lvl w:ilvl="2">
      <w:start w:val="1"/>
      <w:numFmt w:val="decimal"/>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8"/>
  </w:num>
  <w:num w:numId="3">
    <w:abstractNumId w:val="14"/>
  </w:num>
  <w:num w:numId="4">
    <w:abstractNumId w:val="13"/>
  </w:num>
  <w:num w:numId="5">
    <w:abstractNumId w:val="16"/>
  </w:num>
  <w:num w:numId="6">
    <w:abstractNumId w:val="4"/>
  </w:num>
  <w:num w:numId="7">
    <w:abstractNumId w:val="6"/>
  </w:num>
  <w:num w:numId="8">
    <w:abstractNumId w:val="9"/>
  </w:num>
  <w:num w:numId="9">
    <w:abstractNumId w:val="3"/>
  </w:num>
  <w:num w:numId="10">
    <w:abstractNumId w:val="7"/>
  </w:num>
  <w:num w:numId="11">
    <w:abstractNumId w:val="10"/>
  </w:num>
  <w:num w:numId="12">
    <w:abstractNumId w:val="12"/>
  </w:num>
  <w:num w:numId="13">
    <w:abstractNumId w:val="11"/>
  </w:num>
  <w:num w:numId="14">
    <w:abstractNumId w:val="1"/>
  </w:num>
  <w:num w:numId="15">
    <w:abstractNumId w:val="15"/>
  </w:num>
  <w:num w:numId="16">
    <w:abstractNumId w:val="0"/>
  </w:num>
  <w:num w:numId="17">
    <w:abstractNumId w:val="17"/>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6">
    <w:name w:val="Heading 1 Char"/>
    <w:basedOn w:val="1044"/>
    <w:link w:val="1042"/>
    <w:uiPriority w:val="9"/>
    <w:rPr>
      <w:rFonts w:ascii="Arial" w:hAnsi="Arial" w:eastAsia="Arial" w:cs="Arial"/>
      <w:sz w:val="40"/>
      <w:szCs w:val="40"/>
    </w:rPr>
  </w:style>
  <w:style w:type="character" w:styleId="867">
    <w:name w:val="Heading 2 Char"/>
    <w:basedOn w:val="1044"/>
    <w:link w:val="1043"/>
    <w:uiPriority w:val="9"/>
    <w:rPr>
      <w:rFonts w:ascii="Arial" w:hAnsi="Arial" w:eastAsia="Arial" w:cs="Arial"/>
      <w:sz w:val="34"/>
    </w:rPr>
  </w:style>
  <w:style w:type="paragraph" w:styleId="868">
    <w:name w:val="Heading 3"/>
    <w:basedOn w:val="1041"/>
    <w:next w:val="1041"/>
    <w:link w:val="869"/>
    <w:uiPriority w:val="9"/>
    <w:unhideWhenUsed/>
    <w:qFormat/>
    <w:pPr>
      <w:keepLines/>
      <w:keepNext/>
      <w:spacing w:before="320" w:after="200"/>
      <w:outlineLvl w:val="2"/>
    </w:pPr>
    <w:rPr>
      <w:rFonts w:ascii="Arial" w:hAnsi="Arial" w:eastAsia="Arial" w:cs="Arial"/>
      <w:sz w:val="30"/>
      <w:szCs w:val="30"/>
    </w:rPr>
  </w:style>
  <w:style w:type="character" w:styleId="869">
    <w:name w:val="Heading 3 Char"/>
    <w:basedOn w:val="1044"/>
    <w:link w:val="868"/>
    <w:uiPriority w:val="9"/>
    <w:rPr>
      <w:rFonts w:ascii="Arial" w:hAnsi="Arial" w:eastAsia="Arial" w:cs="Arial"/>
      <w:sz w:val="30"/>
      <w:szCs w:val="30"/>
    </w:rPr>
  </w:style>
  <w:style w:type="paragraph" w:styleId="870">
    <w:name w:val="Heading 4"/>
    <w:basedOn w:val="1041"/>
    <w:next w:val="1041"/>
    <w:link w:val="871"/>
    <w:uiPriority w:val="9"/>
    <w:unhideWhenUsed/>
    <w:qFormat/>
    <w:pPr>
      <w:keepLines/>
      <w:keepNext/>
      <w:spacing w:before="320" w:after="200"/>
      <w:outlineLvl w:val="3"/>
    </w:pPr>
    <w:rPr>
      <w:rFonts w:ascii="Arial" w:hAnsi="Arial" w:eastAsia="Arial" w:cs="Arial"/>
      <w:b/>
      <w:bCs/>
      <w:sz w:val="26"/>
      <w:szCs w:val="26"/>
    </w:rPr>
  </w:style>
  <w:style w:type="character" w:styleId="871">
    <w:name w:val="Heading 4 Char"/>
    <w:basedOn w:val="1044"/>
    <w:link w:val="870"/>
    <w:uiPriority w:val="9"/>
    <w:rPr>
      <w:rFonts w:ascii="Arial" w:hAnsi="Arial" w:eastAsia="Arial" w:cs="Arial"/>
      <w:b/>
      <w:bCs/>
      <w:sz w:val="26"/>
      <w:szCs w:val="26"/>
    </w:rPr>
  </w:style>
  <w:style w:type="paragraph" w:styleId="872">
    <w:name w:val="Heading 5"/>
    <w:basedOn w:val="1041"/>
    <w:next w:val="1041"/>
    <w:link w:val="873"/>
    <w:uiPriority w:val="9"/>
    <w:unhideWhenUsed/>
    <w:qFormat/>
    <w:pPr>
      <w:keepLines/>
      <w:keepNext/>
      <w:spacing w:before="320" w:after="200"/>
      <w:outlineLvl w:val="4"/>
    </w:pPr>
    <w:rPr>
      <w:rFonts w:ascii="Arial" w:hAnsi="Arial" w:eastAsia="Arial" w:cs="Arial"/>
      <w:b/>
      <w:bCs/>
      <w:sz w:val="24"/>
      <w:szCs w:val="24"/>
    </w:rPr>
  </w:style>
  <w:style w:type="character" w:styleId="873">
    <w:name w:val="Heading 5 Char"/>
    <w:basedOn w:val="1044"/>
    <w:link w:val="872"/>
    <w:uiPriority w:val="9"/>
    <w:rPr>
      <w:rFonts w:ascii="Arial" w:hAnsi="Arial" w:eastAsia="Arial" w:cs="Arial"/>
      <w:b/>
      <w:bCs/>
      <w:sz w:val="24"/>
      <w:szCs w:val="24"/>
    </w:rPr>
  </w:style>
  <w:style w:type="paragraph" w:styleId="874">
    <w:name w:val="Heading 6"/>
    <w:basedOn w:val="1041"/>
    <w:next w:val="1041"/>
    <w:link w:val="875"/>
    <w:uiPriority w:val="9"/>
    <w:unhideWhenUsed/>
    <w:qFormat/>
    <w:pPr>
      <w:keepLines/>
      <w:keepNext/>
      <w:spacing w:before="320" w:after="200"/>
      <w:outlineLvl w:val="5"/>
    </w:pPr>
    <w:rPr>
      <w:rFonts w:ascii="Arial" w:hAnsi="Arial" w:eastAsia="Arial" w:cs="Arial"/>
      <w:b/>
      <w:bCs/>
      <w:sz w:val="22"/>
      <w:szCs w:val="22"/>
    </w:rPr>
  </w:style>
  <w:style w:type="character" w:styleId="875">
    <w:name w:val="Heading 6 Char"/>
    <w:basedOn w:val="1044"/>
    <w:link w:val="874"/>
    <w:uiPriority w:val="9"/>
    <w:rPr>
      <w:rFonts w:ascii="Arial" w:hAnsi="Arial" w:eastAsia="Arial" w:cs="Arial"/>
      <w:b/>
      <w:bCs/>
      <w:sz w:val="22"/>
      <w:szCs w:val="22"/>
    </w:rPr>
  </w:style>
  <w:style w:type="paragraph" w:styleId="876">
    <w:name w:val="Heading 7"/>
    <w:basedOn w:val="1041"/>
    <w:next w:val="1041"/>
    <w:link w:val="877"/>
    <w:uiPriority w:val="9"/>
    <w:unhideWhenUsed/>
    <w:qFormat/>
    <w:pPr>
      <w:keepLines/>
      <w:keepNext/>
      <w:spacing w:before="320" w:after="200"/>
      <w:outlineLvl w:val="6"/>
    </w:pPr>
    <w:rPr>
      <w:rFonts w:ascii="Arial" w:hAnsi="Arial" w:eastAsia="Arial" w:cs="Arial"/>
      <w:b/>
      <w:bCs/>
      <w:i/>
      <w:iCs/>
      <w:sz w:val="22"/>
      <w:szCs w:val="22"/>
    </w:rPr>
  </w:style>
  <w:style w:type="character" w:styleId="877">
    <w:name w:val="Heading 7 Char"/>
    <w:basedOn w:val="1044"/>
    <w:link w:val="876"/>
    <w:uiPriority w:val="9"/>
    <w:rPr>
      <w:rFonts w:ascii="Arial" w:hAnsi="Arial" w:eastAsia="Arial" w:cs="Arial"/>
      <w:b/>
      <w:bCs/>
      <w:i/>
      <w:iCs/>
      <w:sz w:val="22"/>
      <w:szCs w:val="22"/>
    </w:rPr>
  </w:style>
  <w:style w:type="paragraph" w:styleId="878">
    <w:name w:val="Heading 8"/>
    <w:basedOn w:val="1041"/>
    <w:next w:val="1041"/>
    <w:link w:val="879"/>
    <w:uiPriority w:val="9"/>
    <w:unhideWhenUsed/>
    <w:qFormat/>
    <w:pPr>
      <w:keepLines/>
      <w:keepNext/>
      <w:spacing w:before="320" w:after="200"/>
      <w:outlineLvl w:val="7"/>
    </w:pPr>
    <w:rPr>
      <w:rFonts w:ascii="Arial" w:hAnsi="Arial" w:eastAsia="Arial" w:cs="Arial"/>
      <w:i/>
      <w:iCs/>
      <w:sz w:val="22"/>
      <w:szCs w:val="22"/>
    </w:rPr>
  </w:style>
  <w:style w:type="character" w:styleId="879">
    <w:name w:val="Heading 8 Char"/>
    <w:basedOn w:val="1044"/>
    <w:link w:val="878"/>
    <w:uiPriority w:val="9"/>
    <w:rPr>
      <w:rFonts w:ascii="Arial" w:hAnsi="Arial" w:eastAsia="Arial" w:cs="Arial"/>
      <w:i/>
      <w:iCs/>
      <w:sz w:val="22"/>
      <w:szCs w:val="22"/>
    </w:rPr>
  </w:style>
  <w:style w:type="paragraph" w:styleId="880">
    <w:name w:val="Heading 9"/>
    <w:basedOn w:val="1041"/>
    <w:next w:val="1041"/>
    <w:link w:val="881"/>
    <w:uiPriority w:val="9"/>
    <w:unhideWhenUsed/>
    <w:qFormat/>
    <w:pPr>
      <w:keepLines/>
      <w:keepNext/>
      <w:spacing w:before="320" w:after="200"/>
      <w:outlineLvl w:val="8"/>
    </w:pPr>
    <w:rPr>
      <w:rFonts w:ascii="Arial" w:hAnsi="Arial" w:eastAsia="Arial" w:cs="Arial"/>
      <w:i/>
      <w:iCs/>
      <w:sz w:val="21"/>
      <w:szCs w:val="21"/>
    </w:rPr>
  </w:style>
  <w:style w:type="character" w:styleId="881">
    <w:name w:val="Heading 9 Char"/>
    <w:basedOn w:val="1044"/>
    <w:link w:val="880"/>
    <w:uiPriority w:val="9"/>
    <w:rPr>
      <w:rFonts w:ascii="Arial" w:hAnsi="Arial" w:eastAsia="Arial" w:cs="Arial"/>
      <w:i/>
      <w:iCs/>
      <w:sz w:val="21"/>
      <w:szCs w:val="21"/>
    </w:rPr>
  </w:style>
  <w:style w:type="paragraph" w:styleId="882">
    <w:name w:val="List Paragraph"/>
    <w:basedOn w:val="1041"/>
    <w:uiPriority w:val="34"/>
    <w:qFormat/>
    <w:pPr>
      <w:contextualSpacing/>
      <w:ind w:left="720"/>
    </w:pPr>
  </w:style>
  <w:style w:type="paragraph" w:styleId="883">
    <w:name w:val="No Spacing"/>
    <w:uiPriority w:val="1"/>
    <w:qFormat/>
    <w:pPr>
      <w:spacing w:before="0" w:after="0" w:line="240" w:lineRule="auto"/>
    </w:pPr>
  </w:style>
  <w:style w:type="paragraph" w:styleId="884">
    <w:name w:val="Title"/>
    <w:basedOn w:val="1041"/>
    <w:next w:val="1041"/>
    <w:link w:val="885"/>
    <w:uiPriority w:val="10"/>
    <w:qFormat/>
    <w:pPr>
      <w:contextualSpacing/>
      <w:spacing w:before="300" w:after="200"/>
    </w:pPr>
    <w:rPr>
      <w:sz w:val="48"/>
      <w:szCs w:val="48"/>
    </w:rPr>
  </w:style>
  <w:style w:type="character" w:styleId="885">
    <w:name w:val="Title Char"/>
    <w:basedOn w:val="1044"/>
    <w:link w:val="884"/>
    <w:uiPriority w:val="10"/>
    <w:rPr>
      <w:sz w:val="48"/>
      <w:szCs w:val="48"/>
    </w:rPr>
  </w:style>
  <w:style w:type="paragraph" w:styleId="886">
    <w:name w:val="Subtitle"/>
    <w:basedOn w:val="1041"/>
    <w:next w:val="1041"/>
    <w:link w:val="887"/>
    <w:uiPriority w:val="11"/>
    <w:qFormat/>
    <w:pPr>
      <w:spacing w:before="200" w:after="200"/>
    </w:pPr>
    <w:rPr>
      <w:sz w:val="24"/>
      <w:szCs w:val="24"/>
    </w:rPr>
  </w:style>
  <w:style w:type="character" w:styleId="887">
    <w:name w:val="Subtitle Char"/>
    <w:basedOn w:val="1044"/>
    <w:link w:val="886"/>
    <w:uiPriority w:val="11"/>
    <w:rPr>
      <w:sz w:val="24"/>
      <w:szCs w:val="24"/>
    </w:rPr>
  </w:style>
  <w:style w:type="paragraph" w:styleId="888">
    <w:name w:val="Quote"/>
    <w:basedOn w:val="1041"/>
    <w:next w:val="1041"/>
    <w:link w:val="889"/>
    <w:uiPriority w:val="29"/>
    <w:qFormat/>
    <w:pPr>
      <w:ind w:left="720" w:right="720"/>
    </w:pPr>
    <w:rPr>
      <w:i/>
    </w:rPr>
  </w:style>
  <w:style w:type="character" w:styleId="889">
    <w:name w:val="Quote Char"/>
    <w:link w:val="888"/>
    <w:uiPriority w:val="29"/>
    <w:rPr>
      <w:i/>
    </w:rPr>
  </w:style>
  <w:style w:type="paragraph" w:styleId="890">
    <w:name w:val="Intense Quote"/>
    <w:basedOn w:val="1041"/>
    <w:next w:val="1041"/>
    <w:link w:val="8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name w:val="Intense Quote Char"/>
    <w:link w:val="890"/>
    <w:uiPriority w:val="30"/>
    <w:rPr>
      <w:i/>
    </w:rPr>
  </w:style>
  <w:style w:type="paragraph" w:styleId="892">
    <w:name w:val="Header"/>
    <w:basedOn w:val="1041"/>
    <w:link w:val="893"/>
    <w:uiPriority w:val="99"/>
    <w:unhideWhenUsed/>
    <w:pPr>
      <w:spacing w:after="0" w:line="240" w:lineRule="auto"/>
      <w:tabs>
        <w:tab w:val="center" w:pos="7143" w:leader="none"/>
        <w:tab w:val="right" w:pos="14287" w:leader="none"/>
      </w:tabs>
    </w:pPr>
  </w:style>
  <w:style w:type="character" w:styleId="893">
    <w:name w:val="Header Char"/>
    <w:basedOn w:val="1044"/>
    <w:link w:val="892"/>
    <w:uiPriority w:val="99"/>
  </w:style>
  <w:style w:type="paragraph" w:styleId="894">
    <w:name w:val="Footer"/>
    <w:basedOn w:val="1041"/>
    <w:link w:val="897"/>
    <w:uiPriority w:val="99"/>
    <w:unhideWhenUsed/>
    <w:pPr>
      <w:spacing w:after="0" w:line="240" w:lineRule="auto"/>
      <w:tabs>
        <w:tab w:val="center" w:pos="7143" w:leader="none"/>
        <w:tab w:val="right" w:pos="14287" w:leader="none"/>
      </w:tabs>
    </w:pPr>
  </w:style>
  <w:style w:type="character" w:styleId="895">
    <w:name w:val="Footer Char"/>
    <w:basedOn w:val="1044"/>
    <w:link w:val="894"/>
    <w:uiPriority w:val="99"/>
  </w:style>
  <w:style w:type="paragraph" w:styleId="896">
    <w:name w:val="Caption"/>
    <w:basedOn w:val="1041"/>
    <w:next w:val="1041"/>
    <w:uiPriority w:val="35"/>
    <w:semiHidden/>
    <w:unhideWhenUsed/>
    <w:qFormat/>
    <w:pPr>
      <w:spacing w:line="276" w:lineRule="auto"/>
    </w:pPr>
    <w:rPr>
      <w:b/>
      <w:bCs/>
      <w:color w:val="4f81bd" w:themeColor="accent1"/>
      <w:sz w:val="18"/>
      <w:szCs w:val="18"/>
    </w:rPr>
  </w:style>
  <w:style w:type="character" w:styleId="897">
    <w:name w:val="Caption Char"/>
    <w:basedOn w:val="896"/>
    <w:link w:val="894"/>
    <w:uiPriority w:val="99"/>
  </w:style>
  <w:style w:type="table" w:styleId="898">
    <w:name w:val="Table Grid Light"/>
    <w:basedOn w:val="10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9">
    <w:name w:val="Plain Table 1"/>
    <w:basedOn w:val="10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2"/>
    <w:basedOn w:val="10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3"/>
    <w:basedOn w:val="10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name w:val="Plain Table 4"/>
    <w:basedOn w:val="10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name w:val="Plain Table 5"/>
    <w:basedOn w:val="10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4">
    <w:name w:val="Grid Table 1 Light"/>
    <w:basedOn w:val="10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5">
    <w:name w:val="Grid Table 1 Light - Accent 1"/>
    <w:basedOn w:val="10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6">
    <w:name w:val="Grid Table 1 Light - Accent 2"/>
    <w:basedOn w:val="10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7">
    <w:name w:val="Grid Table 1 Light - Accent 3"/>
    <w:basedOn w:val="10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8">
    <w:name w:val="Grid Table 1 Light - Accent 4"/>
    <w:basedOn w:val="10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9">
    <w:name w:val="Grid Table 1 Light - Accent 5"/>
    <w:basedOn w:val="10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0">
    <w:name w:val="Grid Table 1 Light - Accent 6"/>
    <w:basedOn w:val="10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1">
    <w:name w:val="Grid Table 2"/>
    <w:basedOn w:val="10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2">
    <w:name w:val="Grid Table 2 - Accent 1"/>
    <w:basedOn w:val="10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3">
    <w:name w:val="Grid Table 2 - Accent 2"/>
    <w:basedOn w:val="10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2 - Accent 3"/>
    <w:basedOn w:val="10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2 - Accent 4"/>
    <w:basedOn w:val="10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2 - Accent 5"/>
    <w:basedOn w:val="10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7">
    <w:name w:val="Grid Table 2 - Accent 6"/>
    <w:basedOn w:val="10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8">
    <w:name w:val="Grid Table 3"/>
    <w:basedOn w:val="10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1"/>
    <w:basedOn w:val="10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2"/>
    <w:basedOn w:val="10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3"/>
    <w:basedOn w:val="10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4"/>
    <w:basedOn w:val="10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5"/>
    <w:basedOn w:val="10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6"/>
    <w:basedOn w:val="10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4"/>
    <w:basedOn w:val="10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name w:val="Grid Table 4 - Accent 1"/>
    <w:basedOn w:val="10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7">
    <w:name w:val="Grid Table 4 - Accent 2"/>
    <w:basedOn w:val="10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8">
    <w:name w:val="Grid Table 4 - Accent 3"/>
    <w:basedOn w:val="10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9">
    <w:name w:val="Grid Table 4 - Accent 4"/>
    <w:basedOn w:val="10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0">
    <w:name w:val="Grid Table 4 - Accent 5"/>
    <w:basedOn w:val="10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1">
    <w:name w:val="Grid Table 4 - Accent 6"/>
    <w:basedOn w:val="10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2">
    <w:name w:val="Grid Table 5 Dark"/>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3">
    <w:name w:val="Grid Table 5 Dark- Accent 1"/>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34">
    <w:name w:val="Grid Table 5 Dark - Accent 2"/>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35">
    <w:name w:val="Grid Table 5 Dark - Accent 3"/>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36">
    <w:name w:val="Grid Table 5 Dark- Accent 4"/>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37">
    <w:name w:val="Grid Table 5 Dark - Accent 5"/>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38">
    <w:name w:val="Grid Table 5 Dark - Accent 6"/>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39">
    <w:name w:val="Grid Table 6 Colorful"/>
    <w:basedOn w:val="10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0">
    <w:name w:val="Grid Table 6 Colorful - Accent 1"/>
    <w:basedOn w:val="10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41">
    <w:name w:val="Grid Table 6 Colorful - Accent 2"/>
    <w:basedOn w:val="10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42">
    <w:name w:val="Grid Table 6 Colorful - Accent 3"/>
    <w:basedOn w:val="10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43">
    <w:name w:val="Grid Table 6 Colorful - Accent 4"/>
    <w:basedOn w:val="10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4">
    <w:name w:val="Grid Table 6 Colorful - Accent 5"/>
    <w:basedOn w:val="10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45">
    <w:name w:val="Grid Table 6 Colorful - Accent 6"/>
    <w:basedOn w:val="10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46">
    <w:name w:val="Grid Table 7 Colorful"/>
    <w:basedOn w:val="10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7">
    <w:name w:val="Grid Table 7 Colorful - Accent 1"/>
    <w:basedOn w:val="10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8">
    <w:name w:val="Grid Table 7 Colorful - Accent 2"/>
    <w:basedOn w:val="10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9">
    <w:name w:val="Grid Table 7 Colorful - Accent 3"/>
    <w:basedOn w:val="10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0">
    <w:name w:val="Grid Table 7 Colorful - Accent 4"/>
    <w:basedOn w:val="10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1">
    <w:name w:val="Grid Table 7 Colorful - Accent 5"/>
    <w:basedOn w:val="10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2">
    <w:name w:val="Grid Table 7 Colorful - Accent 6"/>
    <w:basedOn w:val="10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3">
    <w:name w:val="List Table 1 Light"/>
    <w:basedOn w:val="10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name w:val="List Table 1 Light - Accent 1"/>
    <w:basedOn w:val="104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5">
    <w:name w:val="List Table 1 Light - Accent 2"/>
    <w:basedOn w:val="104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6">
    <w:name w:val="List Table 1 Light - Accent 3"/>
    <w:basedOn w:val="104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7">
    <w:name w:val="List Table 1 Light - Accent 4"/>
    <w:basedOn w:val="104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8">
    <w:name w:val="List Table 1 Light - Accent 5"/>
    <w:basedOn w:val="104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9">
    <w:name w:val="List Table 1 Light - Accent 6"/>
    <w:basedOn w:val="104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0">
    <w:name w:val="List Table 2"/>
    <w:basedOn w:val="10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1">
    <w:name w:val="List Table 2 - Accent 1"/>
    <w:basedOn w:val="10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2">
    <w:name w:val="List Table 2 - Accent 2"/>
    <w:basedOn w:val="10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3">
    <w:name w:val="List Table 2 - Accent 3"/>
    <w:basedOn w:val="10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4">
    <w:name w:val="List Table 2 - Accent 4"/>
    <w:basedOn w:val="10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5">
    <w:name w:val="List Table 2 - Accent 5"/>
    <w:basedOn w:val="10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6">
    <w:name w:val="List Table 2 - Accent 6"/>
    <w:basedOn w:val="10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7">
    <w:name w:val="List Table 3"/>
    <w:basedOn w:val="10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8">
    <w:name w:val="List Table 3 - Accent 1"/>
    <w:basedOn w:val="10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69">
    <w:name w:val="List Table 3 - Accent 2"/>
    <w:basedOn w:val="10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70">
    <w:name w:val="List Table 3 - Accent 3"/>
    <w:basedOn w:val="10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71">
    <w:name w:val="List Table 3 - Accent 4"/>
    <w:basedOn w:val="10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72">
    <w:name w:val="List Table 3 - Accent 5"/>
    <w:basedOn w:val="10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73">
    <w:name w:val="List Table 3 - Accent 6"/>
    <w:basedOn w:val="10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74">
    <w:name w:val="List Table 4"/>
    <w:basedOn w:val="10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4 - Accent 1"/>
    <w:basedOn w:val="10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76">
    <w:name w:val="List Table 4 - Accent 2"/>
    <w:basedOn w:val="10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77">
    <w:name w:val="List Table 4 - Accent 3"/>
    <w:basedOn w:val="10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78">
    <w:name w:val="List Table 4 - Accent 4"/>
    <w:basedOn w:val="10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79">
    <w:name w:val="List Table 4 - Accent 5"/>
    <w:basedOn w:val="10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80">
    <w:name w:val="List Table 4 - Accent 6"/>
    <w:basedOn w:val="10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81">
    <w:name w:val="List Table 5 Dark"/>
    <w:basedOn w:val="10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1"/>
    <w:basedOn w:val="10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2"/>
    <w:basedOn w:val="10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3"/>
    <w:basedOn w:val="10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4"/>
    <w:basedOn w:val="10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5"/>
    <w:basedOn w:val="10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6"/>
    <w:basedOn w:val="10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6 Colorful"/>
    <w:basedOn w:val="10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9">
    <w:name w:val="List Table 6 Colorful - Accent 1"/>
    <w:basedOn w:val="10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90">
    <w:name w:val="List Table 6 Colorful - Accent 2"/>
    <w:basedOn w:val="10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91">
    <w:name w:val="List Table 6 Colorful - Accent 3"/>
    <w:basedOn w:val="10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92">
    <w:name w:val="List Table 6 Colorful - Accent 4"/>
    <w:basedOn w:val="10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93">
    <w:name w:val="List Table 6 Colorful - Accent 5"/>
    <w:basedOn w:val="10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94">
    <w:name w:val="List Table 6 Colorful - Accent 6"/>
    <w:basedOn w:val="10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95">
    <w:name w:val="List Table 7 Colorful"/>
    <w:basedOn w:val="10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6">
    <w:name w:val="List Table 7 Colorful - Accent 1"/>
    <w:basedOn w:val="10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97">
    <w:name w:val="List Table 7 Colorful - Accent 2"/>
    <w:basedOn w:val="10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98">
    <w:name w:val="List Table 7 Colorful - Accent 3"/>
    <w:basedOn w:val="10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99">
    <w:name w:val="List Table 7 Colorful - Accent 4"/>
    <w:basedOn w:val="10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00">
    <w:name w:val="List Table 7 Colorful - Accent 5"/>
    <w:basedOn w:val="10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01">
    <w:name w:val="List Table 7 Colorful - Accent 6"/>
    <w:basedOn w:val="10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02">
    <w:name w:val="Lined - Accent"/>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3">
    <w:name w:val="Lined - Accent 1"/>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04">
    <w:name w:val="Lined - Accent 2"/>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05">
    <w:name w:val="Lined - Accent 3"/>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06">
    <w:name w:val="Lined - Accent 4"/>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07">
    <w:name w:val="Lined - Accent 5"/>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08">
    <w:name w:val="Lined - Accent 6"/>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09">
    <w:name w:val="Bordered &amp; Lined - Accent"/>
    <w:basedOn w:val="10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Bordered &amp; Lined - Accent 1"/>
    <w:basedOn w:val="10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1">
    <w:name w:val="Bordered &amp; Lined - Accent 2"/>
    <w:basedOn w:val="10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12">
    <w:name w:val="Bordered &amp; Lined - Accent 3"/>
    <w:basedOn w:val="10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13">
    <w:name w:val="Bordered &amp; Lined - Accent 4"/>
    <w:basedOn w:val="10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14">
    <w:name w:val="Bordered &amp; Lined - Accent 5"/>
    <w:basedOn w:val="10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15">
    <w:name w:val="Bordered &amp; Lined - Accent 6"/>
    <w:basedOn w:val="10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16">
    <w:name w:val="Bordered"/>
    <w:basedOn w:val="10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7">
    <w:name w:val="Bordered - Accent 1"/>
    <w:basedOn w:val="10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8">
    <w:name w:val="Bordered - Accent 2"/>
    <w:basedOn w:val="10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9">
    <w:name w:val="Bordered - Accent 3"/>
    <w:basedOn w:val="10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0">
    <w:name w:val="Bordered - Accent 4"/>
    <w:basedOn w:val="10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1">
    <w:name w:val="Bordered - Accent 5"/>
    <w:basedOn w:val="10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2">
    <w:name w:val="Bordered - Accent 6"/>
    <w:basedOn w:val="10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3">
    <w:name w:val="Hyperlink"/>
    <w:uiPriority w:val="99"/>
    <w:unhideWhenUsed/>
    <w:rPr>
      <w:color w:val="0000ff" w:themeColor="hyperlink"/>
      <w:u w:val="single"/>
    </w:rPr>
  </w:style>
  <w:style w:type="paragraph" w:styleId="1024">
    <w:name w:val="footnote text"/>
    <w:basedOn w:val="1041"/>
    <w:link w:val="1025"/>
    <w:uiPriority w:val="99"/>
    <w:semiHidden/>
    <w:unhideWhenUsed/>
    <w:pPr>
      <w:spacing w:after="40" w:line="240" w:lineRule="auto"/>
    </w:pPr>
    <w:rPr>
      <w:sz w:val="18"/>
    </w:rPr>
  </w:style>
  <w:style w:type="character" w:styleId="1025">
    <w:name w:val="Footnote Text Char"/>
    <w:link w:val="1024"/>
    <w:uiPriority w:val="99"/>
    <w:rPr>
      <w:sz w:val="18"/>
    </w:rPr>
  </w:style>
  <w:style w:type="character" w:styleId="1026">
    <w:name w:val="footnote reference"/>
    <w:basedOn w:val="1044"/>
    <w:uiPriority w:val="99"/>
    <w:unhideWhenUsed/>
    <w:rPr>
      <w:vertAlign w:val="superscript"/>
    </w:rPr>
  </w:style>
  <w:style w:type="paragraph" w:styleId="1027">
    <w:name w:val="endnote text"/>
    <w:basedOn w:val="1041"/>
    <w:link w:val="1028"/>
    <w:uiPriority w:val="99"/>
    <w:semiHidden/>
    <w:unhideWhenUsed/>
    <w:pPr>
      <w:spacing w:after="0" w:line="240" w:lineRule="auto"/>
    </w:pPr>
    <w:rPr>
      <w:sz w:val="20"/>
    </w:rPr>
  </w:style>
  <w:style w:type="character" w:styleId="1028">
    <w:name w:val="Endnote Text Char"/>
    <w:link w:val="1027"/>
    <w:uiPriority w:val="99"/>
    <w:rPr>
      <w:sz w:val="20"/>
    </w:rPr>
  </w:style>
  <w:style w:type="character" w:styleId="1029">
    <w:name w:val="endnote reference"/>
    <w:basedOn w:val="1044"/>
    <w:uiPriority w:val="99"/>
    <w:semiHidden/>
    <w:unhideWhenUsed/>
    <w:rPr>
      <w:vertAlign w:val="superscript"/>
    </w:rPr>
  </w:style>
  <w:style w:type="paragraph" w:styleId="1030">
    <w:name w:val="toc 1"/>
    <w:basedOn w:val="1041"/>
    <w:next w:val="1041"/>
    <w:uiPriority w:val="39"/>
    <w:unhideWhenUsed/>
    <w:pPr>
      <w:ind w:left="0" w:right="0" w:firstLine="0"/>
      <w:spacing w:after="57"/>
    </w:pPr>
  </w:style>
  <w:style w:type="paragraph" w:styleId="1031">
    <w:name w:val="toc 2"/>
    <w:basedOn w:val="1041"/>
    <w:next w:val="1041"/>
    <w:uiPriority w:val="39"/>
    <w:unhideWhenUsed/>
    <w:pPr>
      <w:ind w:left="283" w:right="0" w:firstLine="0"/>
      <w:spacing w:after="57"/>
    </w:pPr>
  </w:style>
  <w:style w:type="paragraph" w:styleId="1032">
    <w:name w:val="toc 3"/>
    <w:basedOn w:val="1041"/>
    <w:next w:val="1041"/>
    <w:uiPriority w:val="39"/>
    <w:unhideWhenUsed/>
    <w:pPr>
      <w:ind w:left="567" w:right="0" w:firstLine="0"/>
      <w:spacing w:after="57"/>
    </w:pPr>
  </w:style>
  <w:style w:type="paragraph" w:styleId="1033">
    <w:name w:val="toc 4"/>
    <w:basedOn w:val="1041"/>
    <w:next w:val="1041"/>
    <w:uiPriority w:val="39"/>
    <w:unhideWhenUsed/>
    <w:pPr>
      <w:ind w:left="850" w:right="0" w:firstLine="0"/>
      <w:spacing w:after="57"/>
    </w:pPr>
  </w:style>
  <w:style w:type="paragraph" w:styleId="1034">
    <w:name w:val="toc 5"/>
    <w:basedOn w:val="1041"/>
    <w:next w:val="1041"/>
    <w:uiPriority w:val="39"/>
    <w:unhideWhenUsed/>
    <w:pPr>
      <w:ind w:left="1134" w:right="0" w:firstLine="0"/>
      <w:spacing w:after="57"/>
    </w:pPr>
  </w:style>
  <w:style w:type="paragraph" w:styleId="1035">
    <w:name w:val="toc 6"/>
    <w:basedOn w:val="1041"/>
    <w:next w:val="1041"/>
    <w:uiPriority w:val="39"/>
    <w:unhideWhenUsed/>
    <w:pPr>
      <w:ind w:left="1417" w:right="0" w:firstLine="0"/>
      <w:spacing w:after="57"/>
    </w:pPr>
  </w:style>
  <w:style w:type="paragraph" w:styleId="1036">
    <w:name w:val="toc 7"/>
    <w:basedOn w:val="1041"/>
    <w:next w:val="1041"/>
    <w:uiPriority w:val="39"/>
    <w:unhideWhenUsed/>
    <w:pPr>
      <w:ind w:left="1701" w:right="0" w:firstLine="0"/>
      <w:spacing w:after="57"/>
    </w:pPr>
  </w:style>
  <w:style w:type="paragraph" w:styleId="1037">
    <w:name w:val="toc 8"/>
    <w:basedOn w:val="1041"/>
    <w:next w:val="1041"/>
    <w:uiPriority w:val="39"/>
    <w:unhideWhenUsed/>
    <w:pPr>
      <w:ind w:left="1984" w:right="0" w:firstLine="0"/>
      <w:spacing w:after="57"/>
    </w:pPr>
  </w:style>
  <w:style w:type="paragraph" w:styleId="1038">
    <w:name w:val="toc 9"/>
    <w:basedOn w:val="1041"/>
    <w:next w:val="1041"/>
    <w:uiPriority w:val="39"/>
    <w:unhideWhenUsed/>
    <w:pPr>
      <w:ind w:left="2268" w:right="0" w:firstLine="0"/>
      <w:spacing w:after="57"/>
    </w:pPr>
  </w:style>
  <w:style w:type="paragraph" w:styleId="1039">
    <w:name w:val="TOC Heading"/>
    <w:uiPriority w:val="39"/>
    <w:unhideWhenUsed/>
  </w:style>
  <w:style w:type="paragraph" w:styleId="1040">
    <w:name w:val="table of figures"/>
    <w:basedOn w:val="1041"/>
    <w:next w:val="1041"/>
    <w:uiPriority w:val="99"/>
    <w:unhideWhenUsed/>
    <w:pPr>
      <w:spacing w:after="0" w:afterAutospacing="0"/>
    </w:pPr>
  </w:style>
  <w:style w:type="paragraph" w:styleId="1041" w:default="1">
    <w:name w:val="Normal"/>
    <w:next w:val="1043"/>
    <w:uiPriority w:val="0"/>
    <w:qFormat/>
    <w:pPr>
      <w:jc w:val="both"/>
      <w:widowControl w:val="off"/>
    </w:pPr>
    <w:rPr>
      <w:rFonts w:ascii="Times New Roman" w:hAnsi="Times New Roman" w:eastAsia="宋体" w:cs="Times New Roman"/>
      <w:sz w:val="21"/>
      <w:szCs w:val="22"/>
      <w:lang w:val="en-US" w:eastAsia="zh-CN" w:bidi="ar-SA"/>
    </w:rPr>
  </w:style>
  <w:style w:type="paragraph" w:styleId="1042">
    <w:name w:val="Heading 1"/>
    <w:basedOn w:val="1041"/>
    <w:next w:val="1041"/>
    <w:uiPriority w:val="9"/>
    <w:qFormat/>
    <w:pPr>
      <w:numPr>
        <w:ilvl w:val="0"/>
        <w:numId w:val="1"/>
      </w:numPr>
      <w:jc w:val="center"/>
      <w:keepLines/>
      <w:keepNext/>
      <w:spacing w:line="360" w:lineRule="auto"/>
      <w:outlineLvl w:val="0"/>
    </w:pPr>
    <w:rPr>
      <w:rFonts w:ascii="Arial" w:hAnsi="Arial" w:cs="Arial"/>
      <w:b/>
      <w:sz w:val="30"/>
      <w:szCs w:val="40"/>
    </w:rPr>
  </w:style>
  <w:style w:type="paragraph" w:styleId="1043">
    <w:name w:val="Heading 2"/>
    <w:basedOn w:val="1041"/>
    <w:next w:val="1041"/>
    <w:uiPriority w:val="9"/>
    <w:unhideWhenUsed/>
    <w:qFormat/>
    <w:pPr>
      <w:numPr>
        <w:ilvl w:val="1"/>
        <w:numId w:val="1"/>
      </w:numPr>
      <w:keepLines/>
      <w:keepNext/>
      <w:spacing w:before="360" w:after="200"/>
      <w:outlineLvl w:val="1"/>
    </w:pPr>
    <w:rPr>
      <w:rFonts w:ascii="Arial" w:hAnsi="Arial" w:eastAsia="Arial" w:cs="Arial"/>
      <w:sz w:val="34"/>
    </w:rPr>
  </w:style>
  <w:style w:type="character" w:styleId="1044" w:default="1">
    <w:name w:val="Default Paragraph Font"/>
    <w:uiPriority w:val="0"/>
    <w:semiHidden/>
    <w:qFormat/>
  </w:style>
  <w:style w:type="table" w:styleId="1045" w:default="1">
    <w:name w:val="Normal Table"/>
    <w:uiPriority w:val="0"/>
    <w:semiHidden/>
    <w:qFormat/>
    <w:tblPr>
      <w:tblCellMar>
        <w:left w:w="108" w:type="dxa"/>
        <w:top w:w="0" w:type="dxa"/>
        <w:right w:w="108" w:type="dxa"/>
        <w:bottom w:w="0" w:type="dxa"/>
      </w:tblCellMar>
    </w:tblPr>
  </w:style>
  <w:style w:type="paragraph" w:styleId="1046">
    <w:name w:val="Normal (Web)"/>
    <w:basedOn w:val="1041"/>
    <w:uiPriority w:val="0"/>
    <w:qFormat/>
    <w:pPr>
      <w:jc w:val="left"/>
      <w:spacing w:beforeAutospacing="1" w:afterAutospacing="1"/>
    </w:pPr>
    <w:rPr>
      <w:sz w:val="24"/>
    </w:rPr>
  </w:style>
  <w:style w:type="table" w:styleId="1047">
    <w:name w:val="Table Grid"/>
    <w:basedOn w:val="10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8" w:customStyle="1">
    <w:name w:val="正文1"/>
    <w:basedOn w:val="1041"/>
    <w:uiPriority w:val="99"/>
    <w:qFormat/>
    <w:pPr>
      <w:ind w:firstLine="480"/>
      <w:spacing w:line="440" w:lineRule="exact"/>
    </w:pPr>
    <w:rPr>
      <w:rFonts w:ascii="微软雅黑" w:hAnsi="微软雅黑" w:eastAsia="微软雅黑"/>
      <w:sz w:val="24"/>
      <w:szCs w:val="20"/>
    </w:rPr>
  </w:style>
  <w:style w:type="paragraph" w:styleId="1049" w:customStyle="1">
    <w:name w:val="目录 11"/>
    <w:basedOn w:val="1041"/>
    <w:next w:val="1041"/>
    <w:uiPriority w:val="39"/>
    <w:unhideWhenUsed/>
    <w:qFormat/>
    <w:rPr>
      <w:rFonts w:ascii="Calibri" w:hAnsi="Calibri"/>
    </w:rPr>
  </w:style>
  <w:style w:type="paragraph" w:styleId="1050" w:customStyle="1">
    <w:name w:val="标题 11"/>
    <w:basedOn w:val="1041"/>
    <w:next w:val="1041"/>
    <w:uiPriority w:val="9"/>
    <w:qFormat/>
    <w:pPr>
      <w:keepLines/>
      <w:keepNext/>
      <w:spacing w:before="340" w:after="330" w:line="578" w:lineRule="auto"/>
      <w:outlineLvl w:val="0"/>
    </w:pPr>
    <w:rPr>
      <w:b/>
      <w:bCs/>
      <w:sz w:val="44"/>
      <w:szCs w:val="44"/>
    </w:rPr>
  </w:style>
  <w:style w:type="paragraph" w:styleId="1051" w:customStyle="1">
    <w:name w:val="正文缩进1"/>
    <w:basedOn w:val="1041"/>
    <w:uiPriority w:val="0"/>
    <w:unhideWhenUsed/>
    <w:qFormat/>
    <w:pPr>
      <w:ind w:firstLine="420"/>
    </w:pPr>
    <w:rPr>
      <w:rFonts w:ascii="Calibri" w:hAnsi="Calibri"/>
    </w:rPr>
  </w:style>
  <w:style w:type="paragraph" w:styleId="1052" w:customStyle="1">
    <w:name w:val="纯文本1"/>
    <w:basedOn w:val="1041"/>
    <w:uiPriority w:val="0"/>
    <w:qFormat/>
    <w:rPr>
      <w:rFonts w:ascii="宋体" w:hAnsi="Courier New"/>
      <w:sz w:val="20"/>
      <w:szCs w:val="21"/>
    </w:rPr>
  </w:style>
  <w:style w:type="paragraph" w:styleId="1053" w:customStyle="1">
    <w:name w:val="普通正文"/>
    <w:basedOn w:val="1041"/>
    <w:uiPriority w:val="0"/>
    <w:qFormat/>
    <w:pPr>
      <w:ind w:firstLine="480"/>
      <w:jc w:val="left"/>
      <w:spacing w:before="120" w:after="120" w:line="360" w:lineRule="auto"/>
    </w:pPr>
    <w:rPr>
      <w:rFonts w:ascii="Arial" w:hAnsi="Arial"/>
      <w:sz w:val="24"/>
      <w:szCs w:val="24"/>
    </w:rPr>
  </w:style>
  <w:style w:type="paragraph" w:styleId="1054" w:customStyle="1">
    <w:name w:val="标题 21"/>
    <w:basedOn w:val="1041"/>
    <w:next w:val="1055"/>
    <w:uiPriority w:val="0"/>
    <w:qFormat/>
    <w:pPr>
      <w:numPr>
        <w:ilvl w:val="1"/>
        <w:numId w:val="2"/>
      </w:numPr>
      <w:jc w:val="left"/>
      <w:keepLines/>
      <w:keepNext/>
      <w:spacing w:before="312" w:after="312"/>
      <w:outlineLvl w:val="1"/>
    </w:pPr>
    <w:rPr>
      <w:rFonts w:ascii="Arial" w:hAnsi="Arial"/>
      <w:b/>
      <w:bCs/>
      <w:sz w:val="28"/>
      <w:szCs w:val="36"/>
    </w:rPr>
  </w:style>
  <w:style w:type="paragraph" w:styleId="1055" w:customStyle="1">
    <w:name w:val="正文缩进11"/>
    <w:basedOn w:val="1041"/>
    <w:uiPriority w:val="0"/>
    <w:unhideWhenUsed/>
    <w:qFormat/>
    <w:pPr>
      <w:ind w:firstLine="420"/>
    </w:pPr>
  </w:style>
  <w:style w:type="paragraph" w:styleId="1056" w:customStyle="1">
    <w:name w:val="Char"/>
    <w:basedOn w:val="1041"/>
    <w:uiPriority w:val="0"/>
    <w:qFormat/>
    <w:pPr>
      <w:ind w:firstLine="200"/>
      <w:tabs>
        <w:tab w:val="left" w:pos="360" w:leader="none"/>
      </w:tabs>
    </w:pPr>
    <w:rPr>
      <w:sz w:val="28"/>
      <w:szCs w:val="30"/>
    </w:rPr>
  </w:style>
  <w:style w:type="character" w:styleId="1057" w:customStyle="1">
    <w:name w:val="要点1"/>
    <w:uiPriority w:val="22"/>
    <w:qFormat/>
    <w:rPr>
      <w:rFonts w:hint="default" w:ascii="Times New Roman" w:hAnsi="Times New Roman" w:eastAsia="宋体" w:cs="Times New Roman"/>
      <w:sz w:val="21"/>
      <w:szCs w:val="22"/>
      <w:lang w:val="en-US" w:eastAsia="zh-CN" w:bidi="ar-SA"/>
    </w:rPr>
  </w:style>
  <w:style w:type="paragraph" w:styleId="1058" w:customStyle="1">
    <w:name w:val="普通(网站)1"/>
    <w:basedOn w:val="1041"/>
    <w:uiPriority w:val="99"/>
    <w:unhideWhenUsed/>
    <w:qFormat/>
    <w:rPr>
      <w:sz w:val="24"/>
    </w:rPr>
  </w:style>
  <w:style w:type="paragraph" w:styleId="1059" w:customStyle="1">
    <w:name w:val="正文文本11"/>
    <w:basedOn w:val="1041"/>
    <w:next w:val="1060"/>
    <w:uiPriority w:val="0"/>
    <w:qFormat/>
    <w:rPr>
      <w:rFonts w:ascii="楷体_GB2312" w:hAnsi="Arial" w:eastAsia="楷体_GB2312"/>
      <w:sz w:val="28"/>
      <w:szCs w:val="28"/>
    </w:rPr>
  </w:style>
  <w:style w:type="paragraph" w:styleId="1060" w:customStyle="1">
    <w:name w:val="标题1"/>
    <w:basedOn w:val="1041"/>
    <w:next w:val="1041"/>
    <w:uiPriority w:val="0"/>
    <w:qFormat/>
    <w:pPr>
      <w:jc w:val="center"/>
      <w:spacing w:before="240" w:after="60" w:line="360" w:lineRule="auto"/>
      <w:outlineLvl w:val="0"/>
    </w:pPr>
    <w:rPr>
      <w:rFonts w:ascii="宋体" w:hAnsi="宋体"/>
      <w:b/>
      <w:bCs/>
      <w:sz w:val="32"/>
      <w:szCs w:val="32"/>
    </w:rPr>
  </w:style>
  <w:style w:type="paragraph" w:styleId="1061" w:customStyle="1">
    <w:name w:val="页眉11"/>
    <w:basedOn w:val="104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62" w:customStyle="1">
    <w:name w:val="页脚11"/>
    <w:basedOn w:val="1041"/>
    <w:uiPriority w:val="99"/>
    <w:unhideWhenUsed/>
    <w:qFormat/>
    <w:pPr>
      <w:jc w:val="left"/>
      <w:tabs>
        <w:tab w:val="center" w:pos="4153" w:leader="none"/>
        <w:tab w:val="right" w:pos="8306" w:leader="none"/>
      </w:tabs>
    </w:pPr>
    <w:rPr>
      <w:sz w:val="18"/>
      <w:szCs w:val="18"/>
    </w:rPr>
  </w:style>
  <w:style w:type="paragraph" w:styleId="1063" w:customStyle="1">
    <w:name w:val="页眉1"/>
    <w:basedOn w:val="104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64" w:customStyle="1">
    <w:name w:val="页脚1"/>
    <w:basedOn w:val="1041"/>
    <w:uiPriority w:val="99"/>
    <w:unhideWhenUsed/>
    <w:qFormat/>
    <w:pPr>
      <w:jc w:val="left"/>
      <w:tabs>
        <w:tab w:val="center" w:pos="4153" w:leader="none"/>
        <w:tab w:val="right" w:pos="8306" w:leader="none"/>
      </w:tabs>
    </w:pPr>
    <w:rPr>
      <w:sz w:val="18"/>
      <w:szCs w:val="18"/>
    </w:r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米饭</dc:creator>
  <cp:lastModifiedBy>董琪</cp:lastModifiedBy>
  <cp:revision>3</cp:revision>
  <dcterms:created xsi:type="dcterms:W3CDTF">2025-12-24T06:24:00Z</dcterms:created>
  <dcterms:modified xsi:type="dcterms:W3CDTF">2025-12-24T09:08:53Z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780300F7E8F64E66A4CEB3433CC2F56D_11</vt:lpwstr>
  </property>
  <property fmtid="{D5CDD505-2E9C-101B-9397-08002B2CF9AE}" pid="4" name="KSOTemplateDocerSaveRecord">
    <vt:lpwstr>eyJoZGlkIjoiYmFjMjJkMzRhYzM2YmI3NDZmZDk0MDYwYWVhMTU3Y2YiLCJ1c2VySWQiOiI0MDkxMTEwNTgifQ==</vt:lpwstr>
  </property>
</Properties>
</file>